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9DC7" w14:textId="77777777" w:rsidR="00EB21B7" w:rsidRDefault="00EB21B7" w:rsidP="00EA0C29">
      <w:pPr>
        <w:spacing w:after="0"/>
        <w:jc w:val="both"/>
        <w:rPr>
          <w:rFonts w:ascii="Bookman Old Style" w:hAnsi="Bookman Old Style" w:cs="Tahoma"/>
          <w:b/>
          <w:i/>
          <w:color w:val="548DD4" w:themeColor="text2" w:themeTint="99"/>
          <w:sz w:val="24"/>
          <w:szCs w:val="24"/>
        </w:rPr>
      </w:pPr>
    </w:p>
    <w:p w14:paraId="059C8C9C" w14:textId="77777777" w:rsidR="001A3F1B" w:rsidRDefault="0026243F" w:rsidP="00EA0C29">
      <w:pPr>
        <w:spacing w:after="0"/>
        <w:jc w:val="both"/>
        <w:rPr>
          <w:rFonts w:ascii="Bookman Old Style" w:hAnsi="Bookman Old Style" w:cs="Tahoma"/>
          <w:b/>
          <w:i/>
          <w:color w:val="548DD4" w:themeColor="text2" w:themeTint="99"/>
          <w:sz w:val="24"/>
          <w:szCs w:val="24"/>
        </w:rPr>
      </w:pPr>
      <w:r>
        <w:rPr>
          <w:noProof/>
          <w:lang w:eastAsia="cs-CZ"/>
        </w:rPr>
        <w:drawing>
          <wp:inline distT="0" distB="0" distL="0" distR="0" wp14:anchorId="52D7AF84" wp14:editId="37753697">
            <wp:extent cx="733425" cy="733425"/>
            <wp:effectExtent l="0" t="0" r="9525" b="9525"/>
            <wp:docPr id="1" name="Obrázek 1" descr="cid:image001.png@01D6E51F.41C64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6E51F.41C64C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61CAF085" w14:textId="77777777" w:rsidR="001A3F1B" w:rsidRDefault="001A3F1B" w:rsidP="00EA0C29">
      <w:pPr>
        <w:spacing w:after="0"/>
        <w:jc w:val="both"/>
        <w:rPr>
          <w:rFonts w:ascii="Bookman Old Style" w:hAnsi="Bookman Old Style" w:cs="Tahoma"/>
          <w:b/>
          <w:i/>
          <w:color w:val="548DD4" w:themeColor="text2" w:themeTint="99"/>
          <w:sz w:val="24"/>
          <w:szCs w:val="24"/>
        </w:rPr>
      </w:pPr>
    </w:p>
    <w:p w14:paraId="417A12D5" w14:textId="1907AED7" w:rsidR="00EA0C29" w:rsidRDefault="00DB4266" w:rsidP="006B3D29">
      <w:pPr>
        <w:spacing w:after="0"/>
        <w:jc w:val="center"/>
        <w:rPr>
          <w:rFonts w:ascii="Bookman Old Style" w:hAnsi="Bookman Old Style" w:cs="Tahoma"/>
          <w:b/>
          <w:i/>
          <w:color w:val="548DD4" w:themeColor="text2" w:themeTint="99"/>
          <w:sz w:val="96"/>
          <w:szCs w:val="96"/>
        </w:rPr>
      </w:pPr>
      <w:r>
        <w:rPr>
          <w:rFonts w:ascii="Bookman Old Style" w:hAnsi="Bookman Old Style" w:cs="Tahoma"/>
          <w:b/>
          <w:i/>
          <w:color w:val="548DD4" w:themeColor="text2" w:themeTint="99"/>
          <w:sz w:val="96"/>
          <w:szCs w:val="96"/>
        </w:rPr>
        <w:t>SST</w:t>
      </w:r>
      <w:r w:rsidR="008145A6" w:rsidRPr="008145A6">
        <w:rPr>
          <w:rFonts w:ascii="Bookman Old Style" w:hAnsi="Bookman Old Style" w:cs="Tahoma"/>
          <w:b/>
          <w:i/>
          <w:color w:val="548DD4" w:themeColor="text2" w:themeTint="99"/>
          <w:sz w:val="96"/>
          <w:szCs w:val="96"/>
        </w:rPr>
        <w:t>–</w:t>
      </w:r>
      <w:r w:rsidR="00EA0C29" w:rsidRPr="008145A6">
        <w:rPr>
          <w:rFonts w:ascii="Bookman Old Style" w:hAnsi="Bookman Old Style" w:cs="Tahoma"/>
          <w:b/>
          <w:i/>
          <w:color w:val="548DD4" w:themeColor="text2" w:themeTint="99"/>
          <w:sz w:val="96"/>
          <w:szCs w:val="96"/>
        </w:rPr>
        <w:t>Info</w:t>
      </w:r>
      <w:r w:rsidR="003655BE">
        <w:rPr>
          <w:rFonts w:ascii="Bookman Old Style" w:hAnsi="Bookman Old Style" w:cs="Tahoma"/>
          <w:b/>
          <w:i/>
          <w:color w:val="548DD4" w:themeColor="text2" w:themeTint="99"/>
          <w:sz w:val="96"/>
          <w:szCs w:val="96"/>
        </w:rPr>
        <w:t xml:space="preserve"> </w:t>
      </w:r>
      <w:r w:rsidR="008404C2">
        <w:rPr>
          <w:rFonts w:ascii="Bookman Old Style" w:hAnsi="Bookman Old Style" w:cs="Tahoma"/>
          <w:b/>
          <w:i/>
          <w:color w:val="548DD4" w:themeColor="text2" w:themeTint="99"/>
          <w:sz w:val="96"/>
          <w:szCs w:val="96"/>
        </w:rPr>
        <w:t>1</w:t>
      </w:r>
      <w:r w:rsidR="009B34B2">
        <w:rPr>
          <w:rFonts w:ascii="Bookman Old Style" w:hAnsi="Bookman Old Style" w:cs="Tahoma"/>
          <w:b/>
          <w:i/>
          <w:color w:val="548DD4" w:themeColor="text2" w:themeTint="99"/>
          <w:sz w:val="96"/>
          <w:szCs w:val="96"/>
        </w:rPr>
        <w:t>/</w:t>
      </w:r>
      <w:r w:rsidR="008145A6" w:rsidRPr="008145A6">
        <w:rPr>
          <w:rFonts w:ascii="Bookman Old Style" w:hAnsi="Bookman Old Style" w:cs="Tahoma"/>
          <w:b/>
          <w:i/>
          <w:color w:val="548DD4" w:themeColor="text2" w:themeTint="99"/>
          <w:sz w:val="96"/>
          <w:szCs w:val="96"/>
        </w:rPr>
        <w:t>202</w:t>
      </w:r>
      <w:r w:rsidR="008404C2">
        <w:rPr>
          <w:rFonts w:ascii="Bookman Old Style" w:hAnsi="Bookman Old Style" w:cs="Tahoma"/>
          <w:b/>
          <w:i/>
          <w:color w:val="548DD4" w:themeColor="text2" w:themeTint="99"/>
          <w:sz w:val="96"/>
          <w:szCs w:val="96"/>
        </w:rPr>
        <w:t>2</w:t>
      </w:r>
    </w:p>
    <w:p w14:paraId="03313A2B" w14:textId="4080CC93" w:rsidR="003F39E5" w:rsidRDefault="003F39E5" w:rsidP="00EA0C29">
      <w:pPr>
        <w:spacing w:after="0"/>
        <w:jc w:val="both"/>
        <w:rPr>
          <w:rFonts w:ascii="Bookman Old Style" w:hAnsi="Bookman Old Style" w:cs="Tahoma"/>
          <w:b/>
          <w:color w:val="548DD4" w:themeColor="text2" w:themeTint="99"/>
          <w:sz w:val="24"/>
          <w:szCs w:val="24"/>
        </w:rPr>
      </w:pPr>
    </w:p>
    <w:p w14:paraId="7129D496" w14:textId="77777777" w:rsidR="00B70120" w:rsidRPr="00550459" w:rsidRDefault="00B70120" w:rsidP="00EA0C29">
      <w:pPr>
        <w:spacing w:after="0"/>
        <w:jc w:val="both"/>
        <w:rPr>
          <w:rFonts w:ascii="Bookman Old Style" w:hAnsi="Bookman Old Style" w:cs="Tahoma"/>
          <w:b/>
          <w:color w:val="548DD4" w:themeColor="text2" w:themeTint="99"/>
          <w:sz w:val="24"/>
          <w:szCs w:val="24"/>
        </w:rPr>
      </w:pPr>
    </w:p>
    <w:p w14:paraId="12912D5C" w14:textId="77777777" w:rsidR="00035851" w:rsidRPr="00730D19" w:rsidRDefault="00035851" w:rsidP="0047092F">
      <w:pPr>
        <w:spacing w:after="0"/>
        <w:jc w:val="both"/>
        <w:rPr>
          <w:rFonts w:ascii="Tahoma" w:hAnsi="Tahoma" w:cs="Tahoma"/>
          <w:b/>
          <w:sz w:val="24"/>
          <w:szCs w:val="24"/>
          <w:highlight w:val="yellow"/>
        </w:rPr>
      </w:pPr>
      <w:r w:rsidRPr="00730D19">
        <w:rPr>
          <w:rFonts w:ascii="Tahoma" w:hAnsi="Tahoma" w:cs="Tahoma"/>
          <w:b/>
          <w:sz w:val="24"/>
          <w:szCs w:val="24"/>
          <w:highlight w:val="yellow"/>
        </w:rPr>
        <w:t>Obsah:</w:t>
      </w:r>
    </w:p>
    <w:p w14:paraId="6685DC91" w14:textId="77777777" w:rsidR="006B3D29" w:rsidRDefault="006B3D29" w:rsidP="0047092F">
      <w:pPr>
        <w:spacing w:after="0"/>
        <w:jc w:val="both"/>
        <w:rPr>
          <w:rFonts w:ascii="Tahoma" w:hAnsi="Tahoma" w:cs="Tahoma"/>
          <w:b/>
          <w:sz w:val="24"/>
          <w:szCs w:val="24"/>
          <w:highlight w:val="yellow"/>
        </w:rPr>
      </w:pPr>
    </w:p>
    <w:p w14:paraId="4EF96707" w14:textId="77777777" w:rsidR="00EA2A6B" w:rsidRPr="00EA2A6B" w:rsidRDefault="00EA2A6B" w:rsidP="0047092F">
      <w:pPr>
        <w:pStyle w:val="Odstavecseseznamem"/>
        <w:numPr>
          <w:ilvl w:val="0"/>
          <w:numId w:val="15"/>
        </w:numPr>
        <w:jc w:val="both"/>
        <w:rPr>
          <w:rFonts w:ascii="Tahoma" w:hAnsi="Tahoma" w:cs="Tahoma"/>
          <w:b/>
          <w:sz w:val="24"/>
          <w:szCs w:val="24"/>
          <w:highlight w:val="yellow"/>
        </w:rPr>
      </w:pPr>
      <w:r w:rsidRPr="00EA2A6B">
        <w:rPr>
          <w:rFonts w:ascii="Tahoma" w:hAnsi="Tahoma" w:cs="Tahoma"/>
          <w:b/>
          <w:sz w:val="24"/>
          <w:szCs w:val="24"/>
          <w:highlight w:val="yellow"/>
        </w:rPr>
        <w:t>VOPSS Řepeč, s.r.o. – nový přírůstek do rodiny SST</w:t>
      </w:r>
    </w:p>
    <w:p w14:paraId="78A2961E" w14:textId="62E61CC8" w:rsidR="001710CB" w:rsidRPr="001710CB" w:rsidRDefault="001710CB" w:rsidP="0047092F">
      <w:pPr>
        <w:pStyle w:val="Odstavecseseznamem"/>
        <w:numPr>
          <w:ilvl w:val="0"/>
          <w:numId w:val="15"/>
        </w:numPr>
        <w:jc w:val="both"/>
        <w:rPr>
          <w:rFonts w:ascii="Tahoma" w:hAnsi="Tahoma" w:cs="Tahoma"/>
          <w:b/>
          <w:sz w:val="24"/>
          <w:szCs w:val="24"/>
          <w:highlight w:val="yellow"/>
        </w:rPr>
      </w:pPr>
      <w:r w:rsidRPr="001710CB">
        <w:rPr>
          <w:rFonts w:ascii="Tahoma" w:hAnsi="Tahoma" w:cs="Tahoma"/>
          <w:b/>
          <w:sz w:val="24"/>
          <w:szCs w:val="24"/>
          <w:highlight w:val="yellow"/>
        </w:rPr>
        <w:t xml:space="preserve">Dr.-Ing. Heinz-Jürgen Prokop byl zvolen prezidentem CECIMO </w:t>
      </w:r>
    </w:p>
    <w:p w14:paraId="3CC28837" w14:textId="3F2A07BA" w:rsidR="001710CB" w:rsidRPr="001710CB" w:rsidRDefault="001710CB" w:rsidP="0047092F">
      <w:pPr>
        <w:pStyle w:val="Odstavecseseznamem"/>
        <w:numPr>
          <w:ilvl w:val="0"/>
          <w:numId w:val="15"/>
        </w:numPr>
        <w:jc w:val="both"/>
        <w:rPr>
          <w:rFonts w:ascii="Tahoma" w:hAnsi="Tahoma" w:cs="Tahoma"/>
          <w:b/>
          <w:sz w:val="24"/>
          <w:szCs w:val="24"/>
          <w:highlight w:val="yellow"/>
        </w:rPr>
      </w:pPr>
      <w:r w:rsidRPr="001710CB">
        <w:rPr>
          <w:rFonts w:ascii="Tahoma" w:hAnsi="Tahoma" w:cs="Tahoma"/>
          <w:b/>
          <w:sz w:val="24"/>
          <w:szCs w:val="24"/>
          <w:highlight w:val="yellow"/>
        </w:rPr>
        <w:t>Cíle francouzského předsednictví Evropské unie</w:t>
      </w:r>
      <w:r w:rsidR="009E0DC6">
        <w:rPr>
          <w:rFonts w:ascii="Tahoma" w:hAnsi="Tahoma" w:cs="Tahoma"/>
          <w:b/>
          <w:sz w:val="24"/>
          <w:szCs w:val="24"/>
          <w:highlight w:val="yellow"/>
        </w:rPr>
        <w:t xml:space="preserve"> </w:t>
      </w:r>
      <w:r w:rsidRPr="001710CB">
        <w:rPr>
          <w:rFonts w:ascii="Tahoma" w:hAnsi="Tahoma" w:cs="Tahoma"/>
          <w:b/>
          <w:sz w:val="24"/>
          <w:szCs w:val="24"/>
          <w:highlight w:val="yellow"/>
        </w:rPr>
        <w:t>se týkají i odvětví výrobních strojů</w:t>
      </w:r>
    </w:p>
    <w:p w14:paraId="63CB727C" w14:textId="77777777" w:rsidR="009E0DC6" w:rsidRDefault="009E0DC6" w:rsidP="0047092F">
      <w:pPr>
        <w:pStyle w:val="Odstavecseseznamem"/>
        <w:numPr>
          <w:ilvl w:val="0"/>
          <w:numId w:val="15"/>
        </w:numPr>
        <w:spacing w:after="0" w:line="240" w:lineRule="auto"/>
        <w:jc w:val="both"/>
        <w:rPr>
          <w:rFonts w:ascii="Tahoma" w:eastAsia="Times New Roman" w:hAnsi="Tahoma" w:cs="Tahoma"/>
          <w:b/>
          <w:bCs/>
          <w:sz w:val="24"/>
          <w:szCs w:val="24"/>
          <w:highlight w:val="yellow"/>
        </w:rPr>
      </w:pPr>
      <w:r w:rsidRPr="009E0DC6">
        <w:rPr>
          <w:rFonts w:ascii="Tahoma" w:eastAsia="Times New Roman" w:hAnsi="Tahoma" w:cs="Tahoma"/>
          <w:b/>
          <w:bCs/>
          <w:sz w:val="24"/>
          <w:szCs w:val="24"/>
          <w:highlight w:val="yellow"/>
        </w:rPr>
        <w:t>Pozitivní ekonomické ukazatele navzdory pokračující globální pandemii</w:t>
      </w:r>
    </w:p>
    <w:p w14:paraId="22453F32" w14:textId="6DCE016A" w:rsidR="00F93F40" w:rsidRPr="00F93F40" w:rsidRDefault="00F93F40" w:rsidP="00F93F40">
      <w:pPr>
        <w:pStyle w:val="Odstavecseseznamem"/>
        <w:numPr>
          <w:ilvl w:val="0"/>
          <w:numId w:val="15"/>
        </w:numPr>
        <w:spacing w:after="0" w:line="240" w:lineRule="auto"/>
        <w:jc w:val="both"/>
        <w:rPr>
          <w:rFonts w:ascii="Tahoma" w:eastAsia="Times New Roman" w:hAnsi="Tahoma" w:cs="Tahoma"/>
          <w:b/>
          <w:bCs/>
          <w:sz w:val="24"/>
          <w:szCs w:val="24"/>
          <w:highlight w:val="yellow"/>
        </w:rPr>
      </w:pPr>
      <w:r w:rsidRPr="00F93F40">
        <w:rPr>
          <w:rFonts w:ascii="Tahoma" w:eastAsia="Times New Roman" w:hAnsi="Tahoma" w:cs="Tahoma"/>
          <w:b/>
          <w:bCs/>
          <w:sz w:val="24"/>
          <w:szCs w:val="24"/>
          <w:highlight w:val="yellow"/>
        </w:rPr>
        <w:t>Reakce CECIMO na návrh evropského zákona o čipech</w:t>
      </w:r>
    </w:p>
    <w:p w14:paraId="1EAE9CB3" w14:textId="1821609F" w:rsidR="00CA5C51" w:rsidRDefault="00CA5C51" w:rsidP="00CA5C51">
      <w:pPr>
        <w:pStyle w:val="Odstavecseseznamem"/>
        <w:numPr>
          <w:ilvl w:val="0"/>
          <w:numId w:val="15"/>
        </w:numPr>
        <w:rPr>
          <w:rFonts w:ascii="Tahoma" w:eastAsia="Times New Roman" w:hAnsi="Tahoma" w:cs="Tahoma"/>
          <w:b/>
          <w:bCs/>
          <w:sz w:val="24"/>
          <w:szCs w:val="24"/>
          <w:highlight w:val="yellow"/>
        </w:rPr>
      </w:pPr>
      <w:r w:rsidRPr="00CA5C51">
        <w:rPr>
          <w:rFonts w:ascii="Tahoma" w:eastAsia="Times New Roman" w:hAnsi="Tahoma" w:cs="Tahoma"/>
          <w:b/>
          <w:bCs/>
          <w:sz w:val="24"/>
          <w:szCs w:val="24"/>
          <w:highlight w:val="yellow"/>
        </w:rPr>
        <w:t>CECIMO k rusko-ukrajinské krizi – Dopad sankcí na odvětví obráběcích strojů</w:t>
      </w:r>
    </w:p>
    <w:p w14:paraId="53848103" w14:textId="1D563459" w:rsidR="00CB6EB4" w:rsidRDefault="00CB6EB4" w:rsidP="00CB6EB4">
      <w:pPr>
        <w:pStyle w:val="Odstavecseseznamem"/>
        <w:ind w:left="502"/>
        <w:rPr>
          <w:rFonts w:ascii="Tahoma" w:eastAsia="Times New Roman" w:hAnsi="Tahoma" w:cs="Tahoma"/>
          <w:b/>
          <w:bCs/>
          <w:sz w:val="24"/>
          <w:szCs w:val="24"/>
          <w:highlight w:val="yellow"/>
        </w:rPr>
      </w:pPr>
    </w:p>
    <w:p w14:paraId="0F22EF29" w14:textId="77777777" w:rsidR="00CB6EB4" w:rsidRPr="00CA5C51" w:rsidRDefault="00CB6EB4" w:rsidP="00CB6EB4">
      <w:pPr>
        <w:pStyle w:val="Odstavecseseznamem"/>
        <w:ind w:left="502"/>
        <w:rPr>
          <w:rFonts w:ascii="Tahoma" w:eastAsia="Times New Roman" w:hAnsi="Tahoma" w:cs="Tahoma"/>
          <w:b/>
          <w:bCs/>
          <w:sz w:val="24"/>
          <w:szCs w:val="24"/>
          <w:highlight w:val="yellow"/>
        </w:rPr>
      </w:pPr>
    </w:p>
    <w:p w14:paraId="5E4964B1" w14:textId="1F0065B0" w:rsidR="00EA2A6B" w:rsidRPr="0082109E" w:rsidRDefault="0082109E" w:rsidP="0082109E">
      <w:pPr>
        <w:pStyle w:val="Odstavecseseznamem"/>
        <w:numPr>
          <w:ilvl w:val="0"/>
          <w:numId w:val="20"/>
        </w:numPr>
        <w:spacing w:after="0"/>
        <w:jc w:val="both"/>
        <w:rPr>
          <w:rFonts w:ascii="Tahoma" w:hAnsi="Tahoma" w:cs="Tahoma"/>
          <w:b/>
          <w:bCs/>
          <w:color w:val="0070C0"/>
          <w:sz w:val="32"/>
          <w:szCs w:val="32"/>
        </w:rPr>
      </w:pPr>
      <w:r w:rsidRPr="0082109E">
        <w:rPr>
          <w:rFonts w:ascii="Tahoma" w:hAnsi="Tahoma" w:cs="Tahoma"/>
          <w:b/>
          <w:bCs/>
          <w:color w:val="0070C0"/>
          <w:sz w:val="32"/>
          <w:szCs w:val="32"/>
        </w:rPr>
        <w:t>VOPSS Řepeč, s.r.o. – nový přírůstek do rodiny SST</w:t>
      </w:r>
    </w:p>
    <w:p w14:paraId="160DD4BB" w14:textId="3D49D6F3" w:rsidR="0082109E" w:rsidRPr="0082109E" w:rsidRDefault="0082109E" w:rsidP="0082109E">
      <w:pPr>
        <w:pStyle w:val="Odstavecseseznamem"/>
        <w:spacing w:after="0"/>
        <w:jc w:val="both"/>
        <w:rPr>
          <w:rFonts w:ascii="Tahoma" w:hAnsi="Tahoma" w:cs="Tahoma"/>
          <w:sz w:val="24"/>
          <w:szCs w:val="24"/>
        </w:rPr>
      </w:pPr>
      <w:bookmarkStart w:id="0" w:name="_Hlk95309518"/>
    </w:p>
    <w:bookmarkEnd w:id="0"/>
    <w:p w14:paraId="4B9B3205" w14:textId="2E23D3C3" w:rsidR="0082109E" w:rsidRDefault="0082109E" w:rsidP="00A34256">
      <w:pPr>
        <w:spacing w:after="0"/>
        <w:jc w:val="both"/>
        <w:rPr>
          <w:rFonts w:ascii="Tahoma" w:hAnsi="Tahoma" w:cs="Tahoma"/>
          <w:sz w:val="24"/>
          <w:szCs w:val="24"/>
        </w:rPr>
      </w:pPr>
      <w:r w:rsidRPr="0082109E">
        <w:rPr>
          <w:rFonts w:ascii="Tahoma" w:hAnsi="Tahoma" w:cs="Tahoma"/>
          <w:sz w:val="24"/>
          <w:szCs w:val="24"/>
        </w:rPr>
        <w:t>Jihočeská společnost VOPSS Řepeč zabývající se výrobou a opravami přesných strojních součástí a servisem a generálními opravami obráběcích strojů se stala 41. členem Svazu strojírenské technologie.</w:t>
      </w:r>
    </w:p>
    <w:p w14:paraId="2F7FA154" w14:textId="77777777" w:rsidR="0082109E" w:rsidRPr="0082109E" w:rsidRDefault="0082109E" w:rsidP="00A34256">
      <w:pPr>
        <w:spacing w:after="0"/>
        <w:jc w:val="both"/>
        <w:rPr>
          <w:rFonts w:ascii="Tahoma" w:hAnsi="Tahoma" w:cs="Tahoma"/>
          <w:sz w:val="24"/>
          <w:szCs w:val="24"/>
        </w:rPr>
      </w:pPr>
    </w:p>
    <w:p w14:paraId="1BDAC768" w14:textId="4E5CE3EA" w:rsidR="0082109E" w:rsidRDefault="0082109E" w:rsidP="00A34256">
      <w:pPr>
        <w:spacing w:after="0"/>
        <w:jc w:val="both"/>
        <w:rPr>
          <w:rFonts w:ascii="Tahoma" w:hAnsi="Tahoma" w:cs="Tahoma"/>
          <w:sz w:val="24"/>
          <w:szCs w:val="24"/>
        </w:rPr>
      </w:pPr>
      <w:r w:rsidRPr="0082109E">
        <w:rPr>
          <w:rFonts w:ascii="Tahoma" w:hAnsi="Tahoma" w:cs="Tahoma"/>
          <w:sz w:val="24"/>
          <w:szCs w:val="24"/>
        </w:rPr>
        <w:t>Společnost byla založena v roce 2006 a od začátku své existence se specializuje na výrobu a repasování strojních součástí obráběcích strojů.</w:t>
      </w:r>
    </w:p>
    <w:p w14:paraId="5CA05E06" w14:textId="77777777" w:rsidR="0082109E" w:rsidRPr="0082109E" w:rsidRDefault="0082109E" w:rsidP="00A34256">
      <w:pPr>
        <w:spacing w:after="0"/>
        <w:jc w:val="both"/>
        <w:rPr>
          <w:rFonts w:ascii="Tahoma" w:hAnsi="Tahoma" w:cs="Tahoma"/>
          <w:sz w:val="24"/>
          <w:szCs w:val="24"/>
        </w:rPr>
      </w:pPr>
    </w:p>
    <w:p w14:paraId="33208F3D" w14:textId="4B8DAC4E" w:rsidR="0082109E" w:rsidRDefault="0082109E" w:rsidP="00A34256">
      <w:pPr>
        <w:spacing w:after="0"/>
        <w:jc w:val="both"/>
        <w:rPr>
          <w:rFonts w:ascii="Tahoma" w:hAnsi="Tahoma" w:cs="Tahoma"/>
          <w:sz w:val="24"/>
          <w:szCs w:val="24"/>
        </w:rPr>
      </w:pPr>
      <w:r w:rsidRPr="0082109E">
        <w:rPr>
          <w:rFonts w:ascii="Tahoma" w:hAnsi="Tahoma" w:cs="Tahoma"/>
          <w:sz w:val="24"/>
          <w:szCs w:val="24"/>
        </w:rPr>
        <w:t>V roce 2010 převzal společnost nový majitel, který 30 let působil v přední české strojírenské firmě Kovosvit MAS. Do firmy vnesl baťovského ducha, zkušenosti a cenné know-how. Zvýšily se rovněž nároky na přesnost a kvalitu.</w:t>
      </w:r>
    </w:p>
    <w:p w14:paraId="1517F911" w14:textId="273648FC" w:rsidR="00783356" w:rsidRDefault="00783356" w:rsidP="00A34256">
      <w:pPr>
        <w:spacing w:after="0"/>
        <w:jc w:val="both"/>
        <w:rPr>
          <w:rFonts w:ascii="Tahoma" w:hAnsi="Tahoma" w:cs="Tahoma"/>
          <w:sz w:val="24"/>
          <w:szCs w:val="24"/>
        </w:rPr>
      </w:pPr>
    </w:p>
    <w:p w14:paraId="7B158AA8" w14:textId="7EF8BB4E" w:rsidR="00BC25A2" w:rsidRDefault="00CB6EB4" w:rsidP="00CB6EB4">
      <w:pPr>
        <w:spacing w:after="0"/>
        <w:jc w:val="center"/>
        <w:rPr>
          <w:rFonts w:ascii="Tahoma" w:hAnsi="Tahoma" w:cs="Tahoma"/>
          <w:sz w:val="24"/>
          <w:szCs w:val="24"/>
        </w:rPr>
      </w:pPr>
      <w:r w:rsidRPr="006766DD">
        <w:rPr>
          <w:rFonts w:ascii="Tahoma" w:hAnsi="Tahoma" w:cs="Tahoma"/>
          <w:noProof/>
          <w:sz w:val="24"/>
          <w:szCs w:val="24"/>
          <w:lang w:eastAsia="cs-CZ"/>
        </w:rPr>
        <w:drawing>
          <wp:inline distT="0" distB="0" distL="0" distR="0" wp14:anchorId="273693DA" wp14:editId="23F5C93F">
            <wp:extent cx="2628000" cy="1162800"/>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000" cy="1162800"/>
                    </a:xfrm>
                    <a:prstGeom prst="rect">
                      <a:avLst/>
                    </a:prstGeom>
                    <a:noFill/>
                    <a:ln>
                      <a:noFill/>
                    </a:ln>
                  </pic:spPr>
                </pic:pic>
              </a:graphicData>
            </a:graphic>
          </wp:inline>
        </w:drawing>
      </w:r>
    </w:p>
    <w:p w14:paraId="3DDE7CD4" w14:textId="73F8871C" w:rsidR="0082109E" w:rsidRDefault="00783356" w:rsidP="00783356">
      <w:pPr>
        <w:spacing w:after="0"/>
        <w:jc w:val="center"/>
        <w:rPr>
          <w:rFonts w:ascii="Tahoma" w:hAnsi="Tahoma" w:cs="Tahoma"/>
          <w:sz w:val="24"/>
          <w:szCs w:val="24"/>
        </w:rPr>
      </w:pPr>
      <w:r>
        <w:rPr>
          <w:noProof/>
          <w:lang w:eastAsia="cs-CZ"/>
        </w:rPr>
        <w:lastRenderedPageBreak/>
        <w:drawing>
          <wp:inline distT="0" distB="0" distL="0" distR="0" wp14:anchorId="5D6F0640" wp14:editId="2E61D79D">
            <wp:extent cx="3254400" cy="3254400"/>
            <wp:effectExtent l="0" t="0" r="3175"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4400" cy="3254400"/>
                    </a:xfrm>
                    <a:prstGeom prst="rect">
                      <a:avLst/>
                    </a:prstGeom>
                  </pic:spPr>
                </pic:pic>
              </a:graphicData>
            </a:graphic>
          </wp:inline>
        </w:drawing>
      </w:r>
    </w:p>
    <w:p w14:paraId="206438CE" w14:textId="77777777" w:rsidR="00BC25A2" w:rsidRDefault="00BC25A2" w:rsidP="00783356">
      <w:pPr>
        <w:spacing w:after="0"/>
        <w:jc w:val="center"/>
        <w:rPr>
          <w:rFonts w:ascii="Tahoma" w:hAnsi="Tahoma" w:cs="Tahoma"/>
          <w:sz w:val="24"/>
          <w:szCs w:val="24"/>
        </w:rPr>
      </w:pPr>
    </w:p>
    <w:p w14:paraId="2E67C7DE" w14:textId="659F8C30" w:rsidR="008B0B3A" w:rsidRDefault="008B0B3A" w:rsidP="00A34256">
      <w:pPr>
        <w:spacing w:after="0"/>
        <w:jc w:val="center"/>
        <w:rPr>
          <w:rFonts w:ascii="Tahoma" w:hAnsi="Tahoma" w:cs="Tahoma"/>
          <w:sz w:val="24"/>
          <w:szCs w:val="24"/>
        </w:rPr>
      </w:pPr>
      <w:r>
        <w:rPr>
          <w:rFonts w:ascii="Tahoma" w:hAnsi="Tahoma" w:cs="Tahoma"/>
          <w:sz w:val="24"/>
          <w:szCs w:val="24"/>
        </w:rPr>
        <w:t>Spolumajitel a jednatel</w:t>
      </w:r>
      <w:r w:rsidR="00A34256">
        <w:rPr>
          <w:rFonts w:ascii="Tahoma" w:hAnsi="Tahoma" w:cs="Tahoma"/>
          <w:sz w:val="24"/>
          <w:szCs w:val="24"/>
        </w:rPr>
        <w:t xml:space="preserve"> </w:t>
      </w:r>
      <w:r>
        <w:rPr>
          <w:rFonts w:ascii="Tahoma" w:hAnsi="Tahoma" w:cs="Tahoma"/>
          <w:sz w:val="24"/>
          <w:szCs w:val="24"/>
        </w:rPr>
        <w:t>společnosti VOPSS Řepeč s.r.o. Vladislav Čítek</w:t>
      </w:r>
    </w:p>
    <w:p w14:paraId="22856ECE" w14:textId="77777777" w:rsidR="00BC25A2" w:rsidRDefault="00BC25A2" w:rsidP="00A34256">
      <w:pPr>
        <w:spacing w:after="0"/>
        <w:jc w:val="center"/>
        <w:rPr>
          <w:rFonts w:ascii="Tahoma" w:hAnsi="Tahoma" w:cs="Tahoma"/>
          <w:sz w:val="24"/>
          <w:szCs w:val="24"/>
        </w:rPr>
      </w:pPr>
    </w:p>
    <w:p w14:paraId="0323E251" w14:textId="1B67B280" w:rsidR="0082109E" w:rsidRDefault="0082109E" w:rsidP="00A34256">
      <w:pPr>
        <w:spacing w:after="0"/>
        <w:jc w:val="both"/>
        <w:rPr>
          <w:rFonts w:ascii="Tahoma" w:hAnsi="Tahoma" w:cs="Tahoma"/>
          <w:sz w:val="24"/>
          <w:szCs w:val="24"/>
        </w:rPr>
      </w:pPr>
      <w:r w:rsidRPr="0082109E">
        <w:rPr>
          <w:rFonts w:ascii="Tahoma" w:hAnsi="Tahoma" w:cs="Tahoma"/>
          <w:sz w:val="24"/>
          <w:szCs w:val="24"/>
        </w:rPr>
        <w:t>Mezi roky 2010 až 2014 společnost investovala do rozšíření a modernizace výrobních a montážních prostor. Nakoupila nové diagnostické a strojní zařízení a do týmu přibyli noví kvalifikovaní odborníci. V současné době ve firmě pracuje 25 kmenových zaměstnanců.</w:t>
      </w:r>
    </w:p>
    <w:p w14:paraId="74379809" w14:textId="77777777" w:rsidR="0082109E" w:rsidRPr="0082109E" w:rsidRDefault="0082109E" w:rsidP="00A34256">
      <w:pPr>
        <w:spacing w:after="0"/>
        <w:jc w:val="both"/>
        <w:rPr>
          <w:rFonts w:ascii="Tahoma" w:hAnsi="Tahoma" w:cs="Tahoma"/>
          <w:sz w:val="24"/>
          <w:szCs w:val="24"/>
        </w:rPr>
      </w:pPr>
    </w:p>
    <w:p w14:paraId="12ADF806" w14:textId="13D092AC" w:rsidR="0082109E" w:rsidRDefault="0082109E" w:rsidP="00A34256">
      <w:pPr>
        <w:spacing w:after="0"/>
        <w:jc w:val="both"/>
        <w:rPr>
          <w:rFonts w:ascii="Tahoma" w:hAnsi="Tahoma" w:cs="Tahoma"/>
          <w:sz w:val="24"/>
          <w:szCs w:val="24"/>
        </w:rPr>
      </w:pPr>
      <w:r w:rsidRPr="0082109E">
        <w:rPr>
          <w:rFonts w:ascii="Tahoma" w:hAnsi="Tahoma" w:cs="Tahoma"/>
          <w:sz w:val="24"/>
          <w:szCs w:val="24"/>
        </w:rPr>
        <w:t>Společnost pravidelně investuje také do nových technologií. Vývoj a inovace jsou zaměřeny rovněž na výrobu vlastních nástrojů. To vše s cílem nabídnout zákazníkům špičkové služby.</w:t>
      </w:r>
    </w:p>
    <w:p w14:paraId="43979EA2" w14:textId="77777777" w:rsidR="0082109E" w:rsidRPr="0082109E" w:rsidRDefault="0082109E" w:rsidP="00A34256">
      <w:pPr>
        <w:spacing w:after="0"/>
        <w:jc w:val="both"/>
        <w:rPr>
          <w:rFonts w:ascii="Tahoma" w:hAnsi="Tahoma" w:cs="Tahoma"/>
          <w:sz w:val="24"/>
          <w:szCs w:val="24"/>
        </w:rPr>
      </w:pPr>
    </w:p>
    <w:p w14:paraId="5D89E731" w14:textId="6AA304B8" w:rsidR="0082109E" w:rsidRDefault="0082109E" w:rsidP="00A34256">
      <w:pPr>
        <w:spacing w:after="0"/>
        <w:jc w:val="both"/>
        <w:rPr>
          <w:rFonts w:ascii="Tahoma" w:hAnsi="Tahoma" w:cs="Tahoma"/>
          <w:sz w:val="24"/>
          <w:szCs w:val="24"/>
        </w:rPr>
      </w:pPr>
      <w:r w:rsidRPr="0082109E">
        <w:rPr>
          <w:rFonts w:ascii="Tahoma" w:hAnsi="Tahoma" w:cs="Tahoma"/>
          <w:sz w:val="24"/>
          <w:szCs w:val="24"/>
        </w:rPr>
        <w:t>V prohlášení firmy se uvádí: „Pro zajištění nejlepších možných řešení pro našeho zákazníka je důležitý výběr kvalitních komponent. Proto spolupracujeme s prověřenými dodavateli náhradních dílů a technologických řešení. Naše firma je autorizovaným servisním partnerem společností Heidenhain a Kitagawa. Důraz je kladen také na rozvoj spolupráce s velkými strojírenskými firmami s obratem v řádech desítek miliard korun a práci pro nadnárodní koncerny v oblasti automotive.“</w:t>
      </w:r>
    </w:p>
    <w:p w14:paraId="0AF8E8B4" w14:textId="0A03FD69" w:rsidR="006766DD" w:rsidRDefault="006766DD" w:rsidP="00A34256">
      <w:pPr>
        <w:spacing w:after="0"/>
        <w:jc w:val="both"/>
        <w:rPr>
          <w:rFonts w:ascii="Tahoma" w:hAnsi="Tahoma" w:cs="Tahoma"/>
          <w:sz w:val="24"/>
          <w:szCs w:val="24"/>
        </w:rPr>
      </w:pPr>
    </w:p>
    <w:p w14:paraId="561D6B93" w14:textId="62D1C93D" w:rsidR="006766DD" w:rsidRDefault="00A34256" w:rsidP="0082109E">
      <w:pPr>
        <w:spacing w:after="0"/>
        <w:jc w:val="both"/>
        <w:rPr>
          <w:rFonts w:ascii="Tahoma" w:hAnsi="Tahoma" w:cs="Tahoma"/>
          <w:sz w:val="24"/>
          <w:szCs w:val="24"/>
        </w:rPr>
      </w:pPr>
      <w:hyperlink r:id="rId12" w:history="1">
        <w:r w:rsidR="006766DD" w:rsidRPr="00825435">
          <w:rPr>
            <w:rStyle w:val="Hypertextovodkaz"/>
            <w:rFonts w:ascii="Tahoma" w:hAnsi="Tahoma" w:cs="Tahoma"/>
            <w:sz w:val="24"/>
            <w:szCs w:val="24"/>
          </w:rPr>
          <w:t>www.vopss.cz</w:t>
        </w:r>
      </w:hyperlink>
      <w:r w:rsidR="006766DD">
        <w:rPr>
          <w:rFonts w:ascii="Tahoma" w:hAnsi="Tahoma" w:cs="Tahoma"/>
          <w:sz w:val="24"/>
          <w:szCs w:val="24"/>
        </w:rPr>
        <w:t xml:space="preserve"> </w:t>
      </w:r>
    </w:p>
    <w:p w14:paraId="25221655" w14:textId="6556ACFE" w:rsidR="006766DD" w:rsidRDefault="006766DD" w:rsidP="0082109E">
      <w:pPr>
        <w:spacing w:after="0"/>
        <w:jc w:val="both"/>
        <w:rPr>
          <w:rFonts w:ascii="Tahoma" w:hAnsi="Tahoma" w:cs="Tahoma"/>
          <w:sz w:val="24"/>
          <w:szCs w:val="24"/>
        </w:rPr>
      </w:pPr>
    </w:p>
    <w:p w14:paraId="49376AC2" w14:textId="115A3DC2" w:rsidR="008B0B3A" w:rsidRDefault="008B0B3A" w:rsidP="0082109E">
      <w:pPr>
        <w:spacing w:after="0"/>
        <w:jc w:val="both"/>
        <w:rPr>
          <w:rFonts w:ascii="Tahoma" w:hAnsi="Tahoma" w:cs="Tahoma"/>
          <w:sz w:val="24"/>
          <w:szCs w:val="24"/>
        </w:rPr>
      </w:pPr>
    </w:p>
    <w:p w14:paraId="4DFFE7FC" w14:textId="6D738456" w:rsidR="00CB6EB4" w:rsidRDefault="00CB6EB4" w:rsidP="0082109E">
      <w:pPr>
        <w:spacing w:after="0"/>
        <w:jc w:val="both"/>
        <w:rPr>
          <w:rFonts w:ascii="Tahoma" w:hAnsi="Tahoma" w:cs="Tahoma"/>
          <w:sz w:val="24"/>
          <w:szCs w:val="24"/>
        </w:rPr>
      </w:pPr>
    </w:p>
    <w:p w14:paraId="03A8D6A0" w14:textId="77777777" w:rsidR="00CB6EB4" w:rsidRDefault="00CB6EB4" w:rsidP="0082109E">
      <w:pPr>
        <w:spacing w:after="0"/>
        <w:jc w:val="both"/>
        <w:rPr>
          <w:rFonts w:ascii="Tahoma" w:hAnsi="Tahoma" w:cs="Tahoma"/>
          <w:sz w:val="24"/>
          <w:szCs w:val="24"/>
        </w:rPr>
      </w:pPr>
    </w:p>
    <w:p w14:paraId="36F0A3AC" w14:textId="2F74F43E" w:rsidR="0082109E" w:rsidRDefault="0082109E" w:rsidP="006766DD">
      <w:pPr>
        <w:spacing w:after="0"/>
        <w:jc w:val="center"/>
        <w:rPr>
          <w:rFonts w:ascii="Tahoma" w:hAnsi="Tahoma" w:cs="Tahoma"/>
          <w:sz w:val="24"/>
          <w:szCs w:val="24"/>
        </w:rPr>
      </w:pPr>
    </w:p>
    <w:p w14:paraId="43B18FDE" w14:textId="743A1020" w:rsidR="006E0E5C" w:rsidRDefault="006E0E5C" w:rsidP="00CB6EB4">
      <w:pPr>
        <w:pStyle w:val="Odstavecseseznamem"/>
        <w:numPr>
          <w:ilvl w:val="0"/>
          <w:numId w:val="35"/>
        </w:numPr>
        <w:spacing w:after="0"/>
        <w:rPr>
          <w:rFonts w:ascii="Tahoma" w:hAnsi="Tahoma" w:cs="Tahoma"/>
          <w:b/>
          <w:color w:val="0070C0"/>
          <w:sz w:val="32"/>
          <w:szCs w:val="32"/>
          <w:u w:val="single"/>
        </w:rPr>
      </w:pPr>
      <w:r w:rsidRPr="006E0E5C">
        <w:rPr>
          <w:rFonts w:ascii="Tahoma" w:hAnsi="Tahoma" w:cs="Tahoma"/>
          <w:b/>
          <w:color w:val="0070C0"/>
          <w:sz w:val="32"/>
          <w:szCs w:val="32"/>
          <w:u w:val="single"/>
        </w:rPr>
        <w:lastRenderedPageBreak/>
        <w:t xml:space="preserve">Dr.-Ing. Heinz-Jürgen Prokop byl </w:t>
      </w:r>
      <w:r w:rsidR="001710CB">
        <w:rPr>
          <w:rFonts w:ascii="Tahoma" w:hAnsi="Tahoma" w:cs="Tahoma"/>
          <w:b/>
          <w:color w:val="0070C0"/>
          <w:sz w:val="32"/>
          <w:szCs w:val="32"/>
          <w:u w:val="single"/>
        </w:rPr>
        <w:t>zvolen</w:t>
      </w:r>
      <w:r w:rsidRPr="006E0E5C">
        <w:rPr>
          <w:rFonts w:ascii="Tahoma" w:hAnsi="Tahoma" w:cs="Tahoma"/>
          <w:b/>
          <w:color w:val="0070C0"/>
          <w:sz w:val="32"/>
          <w:szCs w:val="32"/>
          <w:u w:val="single"/>
        </w:rPr>
        <w:t xml:space="preserve"> prezidentem CECIMO </w:t>
      </w:r>
    </w:p>
    <w:p w14:paraId="728980ED" w14:textId="77777777" w:rsidR="003F3E37" w:rsidRPr="00CB6EB4" w:rsidRDefault="003F3E37" w:rsidP="00A34256">
      <w:pPr>
        <w:pStyle w:val="Odstavecseseznamem"/>
        <w:spacing w:after="0"/>
        <w:rPr>
          <w:rFonts w:ascii="Tahoma" w:hAnsi="Tahoma" w:cs="Tahoma"/>
          <w:b/>
          <w:sz w:val="24"/>
          <w:szCs w:val="24"/>
          <w:u w:val="single"/>
        </w:rPr>
      </w:pPr>
    </w:p>
    <w:p w14:paraId="0F22FDE2" w14:textId="009BEA5F" w:rsidR="006E0E5C" w:rsidRDefault="006E0E5C" w:rsidP="00A34256">
      <w:pPr>
        <w:spacing w:after="0"/>
        <w:jc w:val="both"/>
        <w:rPr>
          <w:rFonts w:ascii="Tahoma" w:hAnsi="Tahoma" w:cs="Tahoma"/>
          <w:sz w:val="24"/>
          <w:szCs w:val="24"/>
        </w:rPr>
      </w:pPr>
      <w:r w:rsidRPr="006E0E5C">
        <w:rPr>
          <w:rFonts w:ascii="Tahoma" w:hAnsi="Tahoma" w:cs="Tahoma"/>
          <w:sz w:val="24"/>
          <w:szCs w:val="24"/>
        </w:rPr>
        <w:t>CECIMO na svém online Valném shromáždění jmenovalo Dr.-Ing. Heinz-Jürgena Prokopa novým prezidentem CECIMO na dvouleté období, spolu s panem Michaelem Merklem, novým předsedou Výboru pro komunikaci a propagaci. Delegáti rovněž potvrdili pana Marcuse Burtona jako předsedu ekonomického výboru na další funkční období.</w:t>
      </w:r>
    </w:p>
    <w:p w14:paraId="787ADF41" w14:textId="77777777" w:rsidR="006E0E5C" w:rsidRPr="006E0E5C" w:rsidRDefault="006E0E5C" w:rsidP="00A34256">
      <w:pPr>
        <w:spacing w:after="0"/>
        <w:jc w:val="both"/>
        <w:rPr>
          <w:rFonts w:ascii="Tahoma" w:hAnsi="Tahoma" w:cs="Tahoma"/>
          <w:sz w:val="24"/>
          <w:szCs w:val="24"/>
        </w:rPr>
      </w:pPr>
    </w:p>
    <w:p w14:paraId="4C7282D2" w14:textId="7F03F863" w:rsidR="006E0E5C" w:rsidRDefault="006E0E5C" w:rsidP="00A34256">
      <w:pPr>
        <w:spacing w:after="0"/>
        <w:jc w:val="both"/>
        <w:rPr>
          <w:rFonts w:ascii="Tahoma" w:hAnsi="Tahoma" w:cs="Tahoma"/>
          <w:sz w:val="24"/>
          <w:szCs w:val="24"/>
        </w:rPr>
      </w:pPr>
      <w:r w:rsidRPr="006E0E5C">
        <w:rPr>
          <w:rFonts w:ascii="Tahoma" w:hAnsi="Tahoma" w:cs="Tahoma"/>
          <w:sz w:val="24"/>
          <w:szCs w:val="24"/>
        </w:rPr>
        <w:t>Dr.-Ing. Heinz-Jürgen Prokop se ujímá funkce prezidenta CECIMO a střídá Dr. Hanse-Martina Schneebergera, který po skončení svého funkčního období opouští představenstvo asociace.</w:t>
      </w:r>
    </w:p>
    <w:p w14:paraId="565CF6EF" w14:textId="77777777" w:rsidR="006E0E5C" w:rsidRPr="006E0E5C" w:rsidRDefault="006E0E5C" w:rsidP="00A34256">
      <w:pPr>
        <w:spacing w:after="0"/>
        <w:jc w:val="both"/>
        <w:rPr>
          <w:rFonts w:ascii="Tahoma" w:hAnsi="Tahoma" w:cs="Tahoma"/>
          <w:sz w:val="24"/>
          <w:szCs w:val="24"/>
        </w:rPr>
      </w:pPr>
    </w:p>
    <w:p w14:paraId="60118336" w14:textId="77777777" w:rsidR="006E0E5C" w:rsidRPr="006E0E5C" w:rsidRDefault="006E0E5C" w:rsidP="00A34256">
      <w:pPr>
        <w:spacing w:after="0"/>
        <w:jc w:val="both"/>
        <w:rPr>
          <w:rFonts w:ascii="Tahoma" w:hAnsi="Tahoma" w:cs="Tahoma"/>
          <w:sz w:val="24"/>
          <w:szCs w:val="24"/>
        </w:rPr>
      </w:pPr>
      <w:r w:rsidRPr="006E0E5C">
        <w:rPr>
          <w:rFonts w:ascii="Tahoma" w:hAnsi="Tahoma" w:cs="Tahoma"/>
          <w:sz w:val="24"/>
          <w:szCs w:val="24"/>
        </w:rPr>
        <w:t>Dr.-Ing. Prokop potvrdil, že prosperita průmyslu obráběcích a tvářecích strojů je nesmírně důležitá pro oživení, růst a konkurenceschopnost výrobního sektoru v EU.</w:t>
      </w:r>
    </w:p>
    <w:p w14:paraId="1AE38F0D" w14:textId="54B50976" w:rsidR="006E0E5C" w:rsidRDefault="006E0E5C" w:rsidP="00A34256">
      <w:pPr>
        <w:spacing w:after="0"/>
        <w:jc w:val="both"/>
        <w:rPr>
          <w:rFonts w:ascii="Tahoma" w:hAnsi="Tahoma" w:cs="Tahoma"/>
          <w:sz w:val="24"/>
          <w:szCs w:val="24"/>
        </w:rPr>
      </w:pPr>
      <w:r w:rsidRPr="006E0E5C">
        <w:rPr>
          <w:rFonts w:ascii="Tahoma" w:hAnsi="Tahoma" w:cs="Tahoma"/>
          <w:sz w:val="24"/>
          <w:szCs w:val="24"/>
        </w:rPr>
        <w:t>"Jsem velice poctěn, že mi bylo svěřeno vedení takové asociace, jako je CECIMO, zejména v této náročné době. Budu se snažit pracovat v nejlepším zájmu odvětví obráběcích strojů, které má strategický význam pro celou evropskou ekonomiku," řekl Dr.-Ing. Prokop.</w:t>
      </w:r>
    </w:p>
    <w:p w14:paraId="4038C4A4" w14:textId="5CDC9A13" w:rsidR="003F3E37" w:rsidRDefault="003F3E37" w:rsidP="00A34256">
      <w:pPr>
        <w:spacing w:after="0"/>
        <w:jc w:val="both"/>
        <w:rPr>
          <w:rFonts w:ascii="Tahoma" w:hAnsi="Tahoma" w:cs="Tahoma"/>
          <w:sz w:val="24"/>
          <w:szCs w:val="24"/>
        </w:rPr>
      </w:pPr>
    </w:p>
    <w:p w14:paraId="2FE4B0D8" w14:textId="711BBF99" w:rsidR="006E0E5C" w:rsidRDefault="003F3E37" w:rsidP="00A34256">
      <w:pPr>
        <w:spacing w:after="0"/>
        <w:jc w:val="center"/>
        <w:rPr>
          <w:rFonts w:ascii="Tahoma" w:hAnsi="Tahoma" w:cs="Tahoma"/>
          <w:sz w:val="24"/>
          <w:szCs w:val="24"/>
        </w:rPr>
      </w:pPr>
      <w:r>
        <w:rPr>
          <w:rFonts w:ascii="Tahoma" w:hAnsi="Tahoma" w:cs="Tahoma"/>
          <w:noProof/>
          <w:sz w:val="24"/>
          <w:szCs w:val="24"/>
          <w:lang w:eastAsia="cs-CZ"/>
        </w:rPr>
        <w:drawing>
          <wp:inline distT="0" distB="0" distL="0" distR="0" wp14:anchorId="4667EF55" wp14:editId="5FB80056">
            <wp:extent cx="4849200" cy="3632400"/>
            <wp:effectExtent l="0" t="0" r="889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9200" cy="3632400"/>
                    </a:xfrm>
                    <a:prstGeom prst="rect">
                      <a:avLst/>
                    </a:prstGeom>
                    <a:noFill/>
                  </pic:spPr>
                </pic:pic>
              </a:graphicData>
            </a:graphic>
          </wp:inline>
        </w:drawing>
      </w:r>
    </w:p>
    <w:p w14:paraId="06C21BFA" w14:textId="77777777" w:rsidR="003F3E37" w:rsidRPr="006E0E5C" w:rsidRDefault="003F3E37" w:rsidP="00A34256">
      <w:pPr>
        <w:spacing w:after="0"/>
        <w:rPr>
          <w:rFonts w:ascii="Tahoma" w:hAnsi="Tahoma" w:cs="Tahoma"/>
          <w:sz w:val="24"/>
          <w:szCs w:val="24"/>
        </w:rPr>
      </w:pPr>
    </w:p>
    <w:p w14:paraId="26F3B6CC" w14:textId="77777777" w:rsidR="006E0E5C" w:rsidRPr="006E0E5C" w:rsidRDefault="006E0E5C" w:rsidP="00A34256">
      <w:pPr>
        <w:spacing w:after="0"/>
        <w:jc w:val="both"/>
        <w:rPr>
          <w:rFonts w:ascii="Tahoma" w:hAnsi="Tahoma" w:cs="Tahoma"/>
          <w:sz w:val="24"/>
          <w:szCs w:val="24"/>
        </w:rPr>
      </w:pPr>
      <w:r w:rsidRPr="006E0E5C">
        <w:rPr>
          <w:rFonts w:ascii="Tahoma" w:hAnsi="Tahoma" w:cs="Tahoma"/>
          <w:sz w:val="24"/>
          <w:szCs w:val="24"/>
        </w:rPr>
        <w:t xml:space="preserve">Nový prezident rovněž zdůraznil význam iniciativ v oblasti udržitelnosti, které jsou klíčovými politickými cíli, a uvedl, že "udržitelnost je nedílnou součástí </w:t>
      </w:r>
      <w:r w:rsidRPr="006E0E5C">
        <w:rPr>
          <w:rFonts w:ascii="Tahoma" w:hAnsi="Tahoma" w:cs="Tahoma"/>
          <w:sz w:val="24"/>
          <w:szCs w:val="24"/>
        </w:rPr>
        <w:lastRenderedPageBreak/>
        <w:t>konkurenceschopnosti odvětví MT. Různé iniciativy, které odvětví MT podniká, jasně ukazují přínos průmyslu pro udržitelnost a životní prostředí."</w:t>
      </w:r>
    </w:p>
    <w:p w14:paraId="6EB8781D" w14:textId="73612229" w:rsidR="006E0E5C" w:rsidRDefault="006E0E5C" w:rsidP="00A34256">
      <w:pPr>
        <w:spacing w:after="0"/>
        <w:jc w:val="both"/>
        <w:rPr>
          <w:rFonts w:ascii="Tahoma" w:hAnsi="Tahoma" w:cs="Tahoma"/>
          <w:sz w:val="24"/>
          <w:szCs w:val="24"/>
        </w:rPr>
      </w:pPr>
      <w:r w:rsidRPr="006E0E5C">
        <w:rPr>
          <w:rFonts w:ascii="Tahoma" w:hAnsi="Tahoma" w:cs="Tahoma"/>
          <w:sz w:val="24"/>
          <w:szCs w:val="24"/>
        </w:rPr>
        <w:t>Dále dodal velice důležitou myšlenku, že při převádění cílů do komplexních strategií bude důležité najít správnou rovnováhu mezi klimatickými ambicemi a ekonomickými a technologickými výzvami.</w:t>
      </w:r>
    </w:p>
    <w:p w14:paraId="70687AF9" w14:textId="77777777" w:rsidR="006E0E5C" w:rsidRPr="006E0E5C" w:rsidRDefault="006E0E5C" w:rsidP="00A34256">
      <w:pPr>
        <w:spacing w:after="0"/>
        <w:jc w:val="both"/>
        <w:rPr>
          <w:rFonts w:ascii="Tahoma" w:hAnsi="Tahoma" w:cs="Tahoma"/>
          <w:sz w:val="24"/>
          <w:szCs w:val="24"/>
        </w:rPr>
      </w:pPr>
    </w:p>
    <w:p w14:paraId="35E4DFBB" w14:textId="73429ADD" w:rsidR="006E0E5C" w:rsidRDefault="006E0E5C" w:rsidP="00A34256">
      <w:pPr>
        <w:spacing w:after="0"/>
        <w:jc w:val="both"/>
        <w:rPr>
          <w:rFonts w:ascii="Tahoma" w:hAnsi="Tahoma" w:cs="Tahoma"/>
          <w:sz w:val="24"/>
          <w:szCs w:val="24"/>
        </w:rPr>
      </w:pPr>
      <w:r w:rsidRPr="006E0E5C">
        <w:rPr>
          <w:rFonts w:ascii="Tahoma" w:hAnsi="Tahoma" w:cs="Tahoma"/>
          <w:sz w:val="24"/>
          <w:szCs w:val="24"/>
        </w:rPr>
        <w:t>Pan Michael Merkle, generální ředitel společnosti Agathon AG, vystřídá pana Bruna Cathomena ve funkci předsedy Výboru pro komunikaci, propagaci a obhajobu zájmů. Ve svém dvouletém funkčním období se zaměří na propagaci konkurenceschopnosti a udržitelného hospodářského růstu našeho průmyslu u rozhodovacích orgánů EU a zároveň se bude zasazovat o přijetí takových předpisů, které budou vstřícné k inovacím a které umožní urychlení digitalizace průmyslu.</w:t>
      </w:r>
    </w:p>
    <w:p w14:paraId="5D3C0C97" w14:textId="77777777" w:rsidR="006E0E5C" w:rsidRPr="006E0E5C" w:rsidRDefault="006E0E5C" w:rsidP="00A34256">
      <w:pPr>
        <w:spacing w:after="0"/>
        <w:jc w:val="both"/>
        <w:rPr>
          <w:rFonts w:ascii="Tahoma" w:hAnsi="Tahoma" w:cs="Tahoma"/>
          <w:sz w:val="24"/>
          <w:szCs w:val="24"/>
        </w:rPr>
      </w:pPr>
    </w:p>
    <w:p w14:paraId="080DCBB3" w14:textId="77777777" w:rsidR="00BC25A2" w:rsidRDefault="006E0E5C" w:rsidP="00A34256">
      <w:pPr>
        <w:spacing w:after="0"/>
        <w:jc w:val="both"/>
        <w:rPr>
          <w:rFonts w:ascii="Tahoma" w:hAnsi="Tahoma" w:cs="Tahoma"/>
          <w:sz w:val="24"/>
          <w:szCs w:val="24"/>
        </w:rPr>
      </w:pPr>
      <w:r w:rsidRPr="006E0E5C">
        <w:rPr>
          <w:rFonts w:ascii="Tahoma" w:hAnsi="Tahoma" w:cs="Tahoma"/>
          <w:sz w:val="24"/>
          <w:szCs w:val="24"/>
        </w:rPr>
        <w:t>Pan Marcus Burton, ředitel společnosti Yamazaki Mazak UK Ltd, byl potvrzen na další dvouleté funkční období jako předseda Hospodářského výboru, v němž bude pokračovat ve sledování statistik a prognóz pro průmysl MT.</w:t>
      </w:r>
    </w:p>
    <w:p w14:paraId="4DFC0D0F" w14:textId="77777777" w:rsidR="00BC25A2" w:rsidRDefault="00BC25A2" w:rsidP="00A34256">
      <w:pPr>
        <w:spacing w:after="0"/>
        <w:jc w:val="both"/>
        <w:rPr>
          <w:rFonts w:ascii="Tahoma" w:hAnsi="Tahoma" w:cs="Tahoma"/>
          <w:sz w:val="24"/>
          <w:szCs w:val="24"/>
        </w:rPr>
      </w:pPr>
    </w:p>
    <w:p w14:paraId="31E43517" w14:textId="144C4B93" w:rsidR="006E0E5C" w:rsidRPr="006E0E5C" w:rsidRDefault="006E0E5C" w:rsidP="00A34256">
      <w:pPr>
        <w:spacing w:after="0"/>
        <w:jc w:val="both"/>
        <w:rPr>
          <w:rFonts w:ascii="Tahoma" w:hAnsi="Tahoma" w:cs="Tahoma"/>
          <w:b/>
          <w:bCs/>
          <w:sz w:val="24"/>
          <w:szCs w:val="24"/>
        </w:rPr>
      </w:pPr>
      <w:r w:rsidRPr="006E0E5C">
        <w:rPr>
          <w:rFonts w:ascii="Tahoma" w:hAnsi="Tahoma" w:cs="Tahoma"/>
          <w:b/>
          <w:bCs/>
          <w:sz w:val="24"/>
          <w:szCs w:val="24"/>
        </w:rPr>
        <w:t xml:space="preserve">Kdo je nový prezident CECIMO, Dr.-Ing. Heinz-Jürgen Prokop? </w:t>
      </w:r>
    </w:p>
    <w:p w14:paraId="1AD57944" w14:textId="4B085563" w:rsidR="006E0E5C" w:rsidRDefault="006E0E5C" w:rsidP="00A34256">
      <w:pPr>
        <w:spacing w:after="0"/>
        <w:jc w:val="both"/>
        <w:rPr>
          <w:rFonts w:ascii="Tahoma" w:hAnsi="Tahoma" w:cs="Tahoma"/>
          <w:sz w:val="24"/>
          <w:szCs w:val="24"/>
        </w:rPr>
      </w:pPr>
      <w:r w:rsidRPr="006E0E5C">
        <w:rPr>
          <w:rFonts w:ascii="Tahoma" w:hAnsi="Tahoma" w:cs="Tahoma"/>
          <w:sz w:val="24"/>
          <w:szCs w:val="24"/>
        </w:rPr>
        <w:t xml:space="preserve">Dr.-Ing. Heinz-Jürgen Prokop získal inženýrský titul na univerzitě ve Stuttgartu. Svou kariéru zahájil v Institutu strojních komponentů ve Stuttgartu, kde v roce 1989 dosáhl titulu doktora technických věd. </w:t>
      </w:r>
    </w:p>
    <w:p w14:paraId="0A99EB3D" w14:textId="09366F55" w:rsidR="006E0E5C" w:rsidRDefault="006E0E5C" w:rsidP="00A34256">
      <w:pPr>
        <w:spacing w:after="0"/>
        <w:jc w:val="both"/>
        <w:rPr>
          <w:rFonts w:ascii="Tahoma" w:hAnsi="Tahoma" w:cs="Tahoma"/>
          <w:sz w:val="24"/>
          <w:szCs w:val="24"/>
        </w:rPr>
      </w:pPr>
      <w:r w:rsidRPr="006E0E5C">
        <w:rPr>
          <w:rFonts w:ascii="Tahoma" w:hAnsi="Tahoma" w:cs="Tahoma"/>
          <w:sz w:val="24"/>
          <w:szCs w:val="24"/>
        </w:rPr>
        <w:t>Dr.-Ing. Prokop nastoupil pak v roce 1988 jako vedoucí konstrukčního oddělení ve společnosti TRUMPF Lasertechnik GmbH v německém Ditzingenu a do roku 1992 byl viceprezidentem, vedoucím vývoje/konstrukce a výroby ve společnosti IHI-TRUMPF-Technologies v japonské Jokohamě. Poté, co zastával různé externí pozice jako generální ředitel ve společnostech Thyssen/Krupp v Essenu, Fritz Studer AG ve Steffisburgu ve Švýcarsku a Frigoblock v Essenu, se v roce 2012 vrátil do Ditzingenu jako generální ředitel vývoje a nákupu ve společnosti TRUMPF Werkzeugmaschinen GmbH + Co. KG. Od roku 2017 je Heinz-Jürgen Prokop členem představenstva skupiny jako generální ředitel pro odvětví MT.</w:t>
      </w:r>
    </w:p>
    <w:p w14:paraId="0859BAD1" w14:textId="77777777" w:rsidR="006E0E5C" w:rsidRPr="006E0E5C" w:rsidRDefault="006E0E5C" w:rsidP="00A34256">
      <w:pPr>
        <w:spacing w:after="0"/>
        <w:jc w:val="both"/>
        <w:rPr>
          <w:rFonts w:ascii="Tahoma" w:hAnsi="Tahoma" w:cs="Tahoma"/>
          <w:sz w:val="24"/>
          <w:szCs w:val="24"/>
        </w:rPr>
      </w:pPr>
    </w:p>
    <w:p w14:paraId="4E719A66" w14:textId="24EC47E0" w:rsidR="00BB0BF4" w:rsidRDefault="006E0E5C" w:rsidP="00A34256">
      <w:pPr>
        <w:spacing w:after="0"/>
        <w:jc w:val="both"/>
        <w:rPr>
          <w:rFonts w:ascii="Tahoma" w:hAnsi="Tahoma" w:cs="Tahoma"/>
          <w:sz w:val="24"/>
          <w:szCs w:val="24"/>
        </w:rPr>
      </w:pPr>
      <w:r w:rsidRPr="006E0E5C">
        <w:rPr>
          <w:rFonts w:ascii="Tahoma" w:hAnsi="Tahoma" w:cs="Tahoma"/>
          <w:sz w:val="24"/>
          <w:szCs w:val="24"/>
        </w:rPr>
        <w:t>Dr.-Ing. Prokop byl posledních šest let předsedou Německého svazu výrobců obráběcích strojů (VDW) a od roku 2020 je členem představenstva CECIMO.</w:t>
      </w:r>
    </w:p>
    <w:p w14:paraId="178E1A91" w14:textId="419DFD60" w:rsidR="001710CB" w:rsidRDefault="001710CB" w:rsidP="00A34256">
      <w:pPr>
        <w:spacing w:after="0"/>
        <w:jc w:val="both"/>
        <w:rPr>
          <w:rFonts w:ascii="Tahoma" w:hAnsi="Tahoma" w:cs="Tahoma"/>
          <w:sz w:val="24"/>
          <w:szCs w:val="24"/>
        </w:rPr>
      </w:pPr>
    </w:p>
    <w:p w14:paraId="650E1767" w14:textId="6DD79B0B" w:rsidR="001710CB" w:rsidRDefault="00A34256" w:rsidP="00A34256">
      <w:pPr>
        <w:spacing w:after="0"/>
        <w:jc w:val="both"/>
        <w:rPr>
          <w:rFonts w:ascii="Tahoma" w:hAnsi="Tahoma" w:cs="Tahoma"/>
          <w:sz w:val="24"/>
          <w:szCs w:val="24"/>
        </w:rPr>
      </w:pPr>
      <w:hyperlink r:id="rId14" w:history="1">
        <w:r w:rsidR="00EA2A6B" w:rsidRPr="00825435">
          <w:rPr>
            <w:rStyle w:val="Hypertextovodkaz"/>
            <w:rFonts w:ascii="Tahoma" w:hAnsi="Tahoma" w:cs="Tahoma"/>
            <w:sz w:val="24"/>
            <w:szCs w:val="24"/>
          </w:rPr>
          <w:t>www.cecimo.eu</w:t>
        </w:r>
      </w:hyperlink>
    </w:p>
    <w:p w14:paraId="280693B6" w14:textId="1F5D62C5" w:rsidR="00EA2A6B" w:rsidRDefault="00EA2A6B" w:rsidP="00A34256">
      <w:pPr>
        <w:spacing w:after="0"/>
        <w:jc w:val="both"/>
        <w:rPr>
          <w:rFonts w:ascii="Tahoma" w:hAnsi="Tahoma" w:cs="Tahoma"/>
          <w:sz w:val="24"/>
          <w:szCs w:val="24"/>
        </w:rPr>
      </w:pPr>
    </w:p>
    <w:p w14:paraId="5CA2D524" w14:textId="7F3E6381" w:rsidR="00EA2A6B" w:rsidRDefault="00EA2A6B" w:rsidP="00A34256">
      <w:pPr>
        <w:spacing w:after="0"/>
        <w:jc w:val="both"/>
        <w:rPr>
          <w:rFonts w:ascii="Tahoma" w:hAnsi="Tahoma" w:cs="Tahoma"/>
          <w:sz w:val="24"/>
          <w:szCs w:val="24"/>
        </w:rPr>
      </w:pPr>
    </w:p>
    <w:p w14:paraId="177C5296" w14:textId="17790EC0" w:rsidR="00CB6EB4" w:rsidRDefault="00CB6EB4" w:rsidP="00A34256">
      <w:pPr>
        <w:spacing w:after="0"/>
        <w:jc w:val="both"/>
        <w:rPr>
          <w:rFonts w:ascii="Tahoma" w:hAnsi="Tahoma" w:cs="Tahoma"/>
          <w:sz w:val="24"/>
          <w:szCs w:val="24"/>
        </w:rPr>
      </w:pPr>
    </w:p>
    <w:p w14:paraId="1A378F74" w14:textId="6087155A" w:rsidR="00CB6EB4" w:rsidRDefault="00CB6EB4" w:rsidP="00A34256">
      <w:pPr>
        <w:spacing w:after="0"/>
        <w:jc w:val="both"/>
        <w:rPr>
          <w:rFonts w:ascii="Tahoma" w:hAnsi="Tahoma" w:cs="Tahoma"/>
          <w:sz w:val="24"/>
          <w:szCs w:val="24"/>
        </w:rPr>
      </w:pPr>
    </w:p>
    <w:p w14:paraId="394B1116" w14:textId="77777777" w:rsidR="00CB6EB4" w:rsidRDefault="00CB6EB4" w:rsidP="00A34256">
      <w:pPr>
        <w:spacing w:after="0"/>
        <w:jc w:val="both"/>
        <w:rPr>
          <w:rFonts w:ascii="Tahoma" w:hAnsi="Tahoma" w:cs="Tahoma"/>
          <w:sz w:val="24"/>
          <w:szCs w:val="24"/>
        </w:rPr>
      </w:pPr>
    </w:p>
    <w:p w14:paraId="7BA5E875" w14:textId="0FDB4858" w:rsidR="00EA2A6B" w:rsidRDefault="00EA2A6B" w:rsidP="00A34256">
      <w:pPr>
        <w:pStyle w:val="Odstavecseseznamem"/>
        <w:numPr>
          <w:ilvl w:val="0"/>
          <w:numId w:val="24"/>
        </w:numPr>
        <w:spacing w:after="0"/>
        <w:rPr>
          <w:rFonts w:ascii="Tahoma" w:hAnsi="Tahoma" w:cs="Tahoma"/>
          <w:b/>
          <w:color w:val="0070C0"/>
          <w:sz w:val="32"/>
          <w:szCs w:val="32"/>
          <w:u w:val="single"/>
        </w:rPr>
      </w:pPr>
      <w:r w:rsidRPr="00EA2A6B">
        <w:rPr>
          <w:rFonts w:ascii="Tahoma" w:hAnsi="Tahoma" w:cs="Tahoma"/>
          <w:b/>
          <w:color w:val="0070C0"/>
          <w:sz w:val="32"/>
          <w:szCs w:val="32"/>
          <w:u w:val="single"/>
        </w:rPr>
        <w:lastRenderedPageBreak/>
        <w:t>Cíle francouzského předsednictví se týkají i odvětví výrobních strojů</w:t>
      </w:r>
    </w:p>
    <w:p w14:paraId="6A731927" w14:textId="77777777" w:rsidR="00CB6EB4" w:rsidRPr="00CB6EB4" w:rsidRDefault="00CB6EB4" w:rsidP="00A34256">
      <w:pPr>
        <w:spacing w:after="0"/>
        <w:ind w:left="360"/>
        <w:rPr>
          <w:rFonts w:ascii="Tahoma" w:hAnsi="Tahoma" w:cs="Tahoma"/>
          <w:b/>
          <w:sz w:val="24"/>
          <w:szCs w:val="24"/>
          <w:u w:val="single"/>
        </w:rPr>
      </w:pPr>
    </w:p>
    <w:p w14:paraId="4938FF91"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Dne 1. ledna 2022 převzala předsednictví Rady Evropské unie Francie. Francouzské předsednictví následuje po předsednictví Slovinska a po něm budou následovat předsednictví České republiky a Švédska. Byl zveřejněn poměrně ambiciózní program, který by měl být realizován během následujících šesti měsíců. Toto jsou tedy hlavní body programu, které se týkají našeho odvětví MT:</w:t>
      </w:r>
    </w:p>
    <w:p w14:paraId="2AB12DA0" w14:textId="77777777" w:rsidR="00EA2A6B" w:rsidRPr="00EA2A6B" w:rsidRDefault="00EA2A6B" w:rsidP="00A34256">
      <w:pPr>
        <w:spacing w:after="0"/>
        <w:jc w:val="both"/>
        <w:rPr>
          <w:rFonts w:ascii="Tahoma" w:hAnsi="Tahoma" w:cs="Tahoma"/>
          <w:sz w:val="24"/>
          <w:szCs w:val="24"/>
        </w:rPr>
      </w:pPr>
    </w:p>
    <w:p w14:paraId="6A3025B2" w14:textId="77777777" w:rsidR="00EA2A6B" w:rsidRPr="009E0DC6" w:rsidRDefault="00EA2A6B" w:rsidP="00A34256">
      <w:pPr>
        <w:spacing w:after="0"/>
        <w:jc w:val="both"/>
        <w:rPr>
          <w:rFonts w:ascii="Tahoma" w:hAnsi="Tahoma" w:cs="Tahoma"/>
          <w:b/>
          <w:bCs/>
          <w:sz w:val="24"/>
          <w:szCs w:val="24"/>
        </w:rPr>
      </w:pPr>
      <w:r w:rsidRPr="009E0DC6">
        <w:rPr>
          <w:rFonts w:ascii="Tahoma" w:hAnsi="Tahoma" w:cs="Tahoma"/>
          <w:b/>
          <w:bCs/>
          <w:sz w:val="24"/>
          <w:szCs w:val="24"/>
        </w:rPr>
        <w:t>Průmysl a vnitřní trh</w:t>
      </w:r>
    </w:p>
    <w:p w14:paraId="5422FDF2"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 xml:space="preserve">Předsednictví se zaměří na zlepšení evropského průmyslu v celosvětovém kontextu. </w:t>
      </w:r>
    </w:p>
    <w:p w14:paraId="5D751669" w14:textId="77777777" w:rsidR="00EA2A6B" w:rsidRPr="00EA2A6B" w:rsidRDefault="00EA2A6B" w:rsidP="00A34256">
      <w:pPr>
        <w:spacing w:after="0"/>
        <w:jc w:val="both"/>
        <w:rPr>
          <w:rFonts w:ascii="Tahoma" w:hAnsi="Tahoma" w:cs="Tahoma"/>
          <w:sz w:val="24"/>
          <w:szCs w:val="24"/>
        </w:rPr>
      </w:pPr>
    </w:p>
    <w:p w14:paraId="6FE9B0C1"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Tento cíl bude zahrnovat především opatření zaměřená na:</w:t>
      </w:r>
    </w:p>
    <w:p w14:paraId="732ECA8E"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 zvýšení odolnosti evropských průmyslových ekosystémů</w:t>
      </w:r>
    </w:p>
    <w:p w14:paraId="651D9FE5"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 xml:space="preserve">- podporu přechodu k fungování průmyslu na ekologickém a digitálním principu </w:t>
      </w:r>
    </w:p>
    <w:p w14:paraId="3C8C0D33"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 rozvoj nových evropských výrobních kapacit s cílem snížit globální závislost (předsednictví například zahájí práci na návrhu Aktu o evropských čipech).</w:t>
      </w:r>
    </w:p>
    <w:p w14:paraId="63E344C7" w14:textId="77777777" w:rsidR="00EA2A6B" w:rsidRPr="00EA2A6B" w:rsidRDefault="00EA2A6B" w:rsidP="00A34256">
      <w:pPr>
        <w:spacing w:after="0"/>
        <w:jc w:val="both"/>
        <w:rPr>
          <w:rFonts w:ascii="Tahoma" w:hAnsi="Tahoma" w:cs="Tahoma"/>
          <w:sz w:val="24"/>
          <w:szCs w:val="24"/>
        </w:rPr>
      </w:pPr>
    </w:p>
    <w:p w14:paraId="20D26BAC"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Předsednictví posílí evropský regulační rámec pro průmyslová odvětví tím, že povede jednání o nařízení o strojních zařízeních a podpoří zahájení evropské normalizační strategie.</w:t>
      </w:r>
    </w:p>
    <w:p w14:paraId="4379761B" w14:textId="77777777" w:rsidR="00EA2A6B" w:rsidRPr="00EA2A6B" w:rsidRDefault="00EA2A6B" w:rsidP="00A34256">
      <w:pPr>
        <w:spacing w:after="0"/>
        <w:jc w:val="both"/>
        <w:rPr>
          <w:rFonts w:ascii="Tahoma" w:hAnsi="Tahoma" w:cs="Tahoma"/>
          <w:sz w:val="24"/>
          <w:szCs w:val="24"/>
        </w:rPr>
      </w:pPr>
    </w:p>
    <w:p w14:paraId="25B4D4BC" w14:textId="77777777" w:rsidR="00EA2A6B" w:rsidRPr="009E0DC6" w:rsidRDefault="00EA2A6B" w:rsidP="00A34256">
      <w:pPr>
        <w:spacing w:after="0"/>
        <w:jc w:val="both"/>
        <w:rPr>
          <w:rFonts w:ascii="Tahoma" w:hAnsi="Tahoma" w:cs="Tahoma"/>
          <w:b/>
          <w:bCs/>
          <w:sz w:val="24"/>
          <w:szCs w:val="24"/>
        </w:rPr>
      </w:pPr>
      <w:r w:rsidRPr="009E0DC6">
        <w:rPr>
          <w:rFonts w:ascii="Tahoma" w:hAnsi="Tahoma" w:cs="Tahoma"/>
          <w:b/>
          <w:bCs/>
          <w:sz w:val="24"/>
          <w:szCs w:val="24"/>
        </w:rPr>
        <w:t>Obchod</w:t>
      </w:r>
    </w:p>
    <w:p w14:paraId="2551EB7E"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Předsednictví bude usilovat o to, aby obchodní politika lépe zohledňovala udržitelný rozvoj a dosažení cílů Zelené dohody pro Evropu. Kromě toho bude předsednictví pracovat na nových opatřeních, která zajistí, aby se na dovážené výrobky vztahovaly výrobní normy platné v EU, a kdykoli to bude nutné zvýší ochranu zdraví a životního prostředí v souladu s pravidly WTO (takzvaná "zrcadlová opatření").</w:t>
      </w:r>
    </w:p>
    <w:p w14:paraId="52C40748" w14:textId="77777777" w:rsidR="00EA2A6B" w:rsidRPr="00EA2A6B" w:rsidRDefault="00EA2A6B" w:rsidP="00A34256">
      <w:pPr>
        <w:spacing w:after="0"/>
        <w:jc w:val="both"/>
        <w:rPr>
          <w:rFonts w:ascii="Tahoma" w:hAnsi="Tahoma" w:cs="Tahoma"/>
          <w:sz w:val="24"/>
          <w:szCs w:val="24"/>
        </w:rPr>
      </w:pPr>
    </w:p>
    <w:p w14:paraId="45582C13" w14:textId="77777777" w:rsidR="00EA2A6B" w:rsidRPr="009E0DC6" w:rsidRDefault="00EA2A6B" w:rsidP="00A34256">
      <w:pPr>
        <w:spacing w:after="0"/>
        <w:jc w:val="both"/>
        <w:rPr>
          <w:rFonts w:ascii="Tahoma" w:hAnsi="Tahoma" w:cs="Tahoma"/>
          <w:b/>
          <w:bCs/>
          <w:sz w:val="24"/>
          <w:szCs w:val="24"/>
        </w:rPr>
      </w:pPr>
      <w:r w:rsidRPr="009E0DC6">
        <w:rPr>
          <w:rFonts w:ascii="Tahoma" w:hAnsi="Tahoma" w:cs="Tahoma"/>
          <w:b/>
          <w:bCs/>
          <w:sz w:val="24"/>
          <w:szCs w:val="24"/>
        </w:rPr>
        <w:t>Udržitelnost</w:t>
      </w:r>
    </w:p>
    <w:p w14:paraId="629FA35A"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Předsednictví bude usilovat o to, aby se Evropa stala lídrem v oblasti udržitelných. Upřednostní práci na směrnici o podávání zpráv o udržitelnosti podniků s cílem zvýšit transparentnost podniků v environmentálních a sociálních otázkách. Dále předsednictví zahájí jednání o iniciativě pro udržitelné výrobky, která zajistí ochranu spotřebitelů a zdůvodnění environmentálních kritérií.</w:t>
      </w:r>
    </w:p>
    <w:p w14:paraId="214A945B" w14:textId="77777777" w:rsidR="00EA2A6B" w:rsidRPr="00EA2A6B" w:rsidRDefault="00EA2A6B" w:rsidP="00A34256">
      <w:pPr>
        <w:spacing w:after="0"/>
        <w:jc w:val="both"/>
        <w:rPr>
          <w:rFonts w:ascii="Tahoma" w:hAnsi="Tahoma" w:cs="Tahoma"/>
          <w:sz w:val="24"/>
          <w:szCs w:val="24"/>
        </w:rPr>
      </w:pPr>
    </w:p>
    <w:p w14:paraId="452A26AC" w14:textId="77777777" w:rsidR="00EA2A6B" w:rsidRPr="009E0DC6" w:rsidRDefault="00EA2A6B" w:rsidP="00A34256">
      <w:pPr>
        <w:spacing w:after="0"/>
        <w:jc w:val="both"/>
        <w:rPr>
          <w:rFonts w:ascii="Tahoma" w:hAnsi="Tahoma" w:cs="Tahoma"/>
          <w:b/>
          <w:bCs/>
          <w:sz w:val="24"/>
          <w:szCs w:val="24"/>
        </w:rPr>
      </w:pPr>
      <w:r w:rsidRPr="009E0DC6">
        <w:rPr>
          <w:rFonts w:ascii="Tahoma" w:hAnsi="Tahoma" w:cs="Tahoma"/>
          <w:b/>
          <w:bCs/>
          <w:sz w:val="24"/>
          <w:szCs w:val="24"/>
        </w:rPr>
        <w:t>Výzkum a inovace</w:t>
      </w:r>
    </w:p>
    <w:p w14:paraId="7D1A767D"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Předsednictví bude podporovat nová soukromá a veřejná partnerství, neboť se ukázalo, že významně přispívají k technologickému rozvoji a inovacím. Kromě toho bude předsednictví podporovat vyváženou spolupráci v oblasti výzkumu a inovací se zeměmi mimo EU.</w:t>
      </w:r>
    </w:p>
    <w:p w14:paraId="7B4089B9" w14:textId="77777777" w:rsidR="00EA2A6B" w:rsidRPr="00EA2A6B" w:rsidRDefault="00EA2A6B" w:rsidP="00A34256">
      <w:pPr>
        <w:spacing w:after="0"/>
        <w:jc w:val="both"/>
        <w:rPr>
          <w:rFonts w:ascii="Tahoma" w:hAnsi="Tahoma" w:cs="Tahoma"/>
          <w:sz w:val="24"/>
          <w:szCs w:val="24"/>
        </w:rPr>
      </w:pPr>
    </w:p>
    <w:p w14:paraId="75F08932" w14:textId="77777777" w:rsidR="00EA2A6B" w:rsidRPr="00EA2A6B" w:rsidRDefault="00EA2A6B" w:rsidP="00A34256">
      <w:pPr>
        <w:spacing w:after="0"/>
        <w:jc w:val="both"/>
        <w:rPr>
          <w:rFonts w:ascii="Tahoma" w:hAnsi="Tahoma" w:cs="Tahoma"/>
          <w:sz w:val="24"/>
          <w:szCs w:val="24"/>
        </w:rPr>
      </w:pPr>
      <w:r w:rsidRPr="00EA2A6B">
        <w:rPr>
          <w:rFonts w:ascii="Tahoma" w:hAnsi="Tahoma" w:cs="Tahoma"/>
          <w:sz w:val="24"/>
          <w:szCs w:val="24"/>
        </w:rPr>
        <w:t>CECIMO již začalo spolupracovat s francouzským předsednictvím na různých otázkách (zejména na revizi nařízení o strojních zařízeních) a v průběhu následujících šesti měsíců bude nadále sledovat aktivity v rámci tohoto předsednictví.</w:t>
      </w:r>
    </w:p>
    <w:p w14:paraId="27CC4145" w14:textId="77777777" w:rsidR="00EA2A6B" w:rsidRPr="00EA2A6B" w:rsidRDefault="00EA2A6B" w:rsidP="00A34256">
      <w:pPr>
        <w:spacing w:after="0"/>
        <w:jc w:val="both"/>
        <w:rPr>
          <w:rFonts w:ascii="Tahoma" w:hAnsi="Tahoma" w:cs="Tahoma"/>
          <w:sz w:val="24"/>
          <w:szCs w:val="24"/>
        </w:rPr>
      </w:pPr>
    </w:p>
    <w:p w14:paraId="088F5EA0" w14:textId="48B40D58" w:rsidR="006E6F47" w:rsidRDefault="00A34256" w:rsidP="00A34256">
      <w:pPr>
        <w:spacing w:after="0"/>
        <w:jc w:val="both"/>
        <w:rPr>
          <w:rFonts w:ascii="Tahoma" w:hAnsi="Tahoma" w:cs="Tahoma"/>
          <w:sz w:val="24"/>
          <w:szCs w:val="24"/>
        </w:rPr>
      </w:pPr>
      <w:hyperlink r:id="rId15" w:history="1">
        <w:r w:rsidR="00EA2A6B" w:rsidRPr="00825435">
          <w:rPr>
            <w:rStyle w:val="Hypertextovodkaz"/>
            <w:rFonts w:ascii="Tahoma" w:hAnsi="Tahoma" w:cs="Tahoma"/>
            <w:sz w:val="24"/>
            <w:szCs w:val="24"/>
          </w:rPr>
          <w:t>www.cecimo.eu</w:t>
        </w:r>
      </w:hyperlink>
      <w:r w:rsidR="00EA2A6B">
        <w:rPr>
          <w:rFonts w:ascii="Tahoma" w:hAnsi="Tahoma" w:cs="Tahoma"/>
          <w:sz w:val="24"/>
          <w:szCs w:val="24"/>
        </w:rPr>
        <w:t xml:space="preserve"> </w:t>
      </w:r>
    </w:p>
    <w:p w14:paraId="3EFA816B" w14:textId="77777777" w:rsidR="00EA2A6B" w:rsidRDefault="00EA2A6B" w:rsidP="00A34256">
      <w:pPr>
        <w:spacing w:after="0"/>
        <w:jc w:val="both"/>
        <w:rPr>
          <w:rFonts w:ascii="Tahoma" w:hAnsi="Tahoma" w:cs="Tahoma"/>
          <w:sz w:val="24"/>
          <w:szCs w:val="24"/>
        </w:rPr>
      </w:pPr>
    </w:p>
    <w:p w14:paraId="5337ECAE" w14:textId="77777777" w:rsidR="009E0DC6" w:rsidRPr="009E0DC6" w:rsidRDefault="009E0DC6" w:rsidP="00A34256">
      <w:pPr>
        <w:numPr>
          <w:ilvl w:val="0"/>
          <w:numId w:val="20"/>
        </w:numPr>
        <w:spacing w:after="0"/>
        <w:jc w:val="both"/>
        <w:rPr>
          <w:rFonts w:ascii="Tahoma" w:hAnsi="Tahoma" w:cs="Tahoma"/>
          <w:b/>
          <w:color w:val="0070C0"/>
          <w:sz w:val="32"/>
          <w:szCs w:val="32"/>
        </w:rPr>
      </w:pPr>
      <w:r w:rsidRPr="009E0DC6">
        <w:rPr>
          <w:rFonts w:ascii="Tahoma" w:hAnsi="Tahoma" w:cs="Tahoma"/>
          <w:b/>
          <w:color w:val="0070C0"/>
          <w:sz w:val="32"/>
          <w:szCs w:val="32"/>
        </w:rPr>
        <w:t>Pozitivní ekonomické ukazatele navzdory pokračující globální pandemii</w:t>
      </w:r>
    </w:p>
    <w:p w14:paraId="6BF235F9" w14:textId="77777777" w:rsidR="005C0214" w:rsidRDefault="005C0214" w:rsidP="00A34256">
      <w:pPr>
        <w:spacing w:after="0"/>
        <w:jc w:val="both"/>
        <w:rPr>
          <w:rFonts w:ascii="Tahoma" w:hAnsi="Tahoma" w:cs="Tahoma"/>
          <w:sz w:val="24"/>
          <w:szCs w:val="24"/>
        </w:rPr>
      </w:pPr>
    </w:p>
    <w:p w14:paraId="1BB2E1DF" w14:textId="5C02A148"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Během svého online valného shromáždění nabídlo CECIMO optimističtější odhad výsledků za rok 2021. Proti roku 2020 je očekáván růst produkce o 11,5 %. CECIMO představilo pozitivní scénář pro evropský sektor obráběcích strojů i pro rok 2022. Kromě jiného se na Valném shromáždění diskutovalo o klíčových tématech, která jsou pro odvětví naléhavá, jako jsou digitální technologie, udržitelnost, revidovaná Směrnice o strojních zařízeních a aditivní výroba.</w:t>
      </w:r>
    </w:p>
    <w:p w14:paraId="388FE4EE" w14:textId="77777777" w:rsidR="005C0214" w:rsidRPr="005C0214" w:rsidRDefault="005C0214" w:rsidP="00A34256">
      <w:pPr>
        <w:spacing w:after="0"/>
        <w:jc w:val="both"/>
        <w:rPr>
          <w:rFonts w:ascii="Tahoma" w:hAnsi="Tahoma" w:cs="Tahoma"/>
          <w:sz w:val="24"/>
          <w:szCs w:val="24"/>
        </w:rPr>
      </w:pPr>
    </w:p>
    <w:p w14:paraId="034E4BCA" w14:textId="77777777" w:rsidR="005C0214" w:rsidRPr="0047092F" w:rsidRDefault="005C0214" w:rsidP="00A34256">
      <w:pPr>
        <w:spacing w:after="0"/>
        <w:jc w:val="both"/>
        <w:rPr>
          <w:rFonts w:ascii="Tahoma" w:hAnsi="Tahoma" w:cs="Tahoma"/>
          <w:b/>
          <w:bCs/>
          <w:sz w:val="24"/>
          <w:szCs w:val="24"/>
        </w:rPr>
      </w:pPr>
      <w:r w:rsidRPr="0047092F">
        <w:rPr>
          <w:rFonts w:ascii="Tahoma" w:hAnsi="Tahoma" w:cs="Tahoma"/>
          <w:b/>
          <w:bCs/>
          <w:sz w:val="24"/>
          <w:szCs w:val="24"/>
        </w:rPr>
        <w:t>Hospodářský výhled a trendy</w:t>
      </w:r>
    </w:p>
    <w:p w14:paraId="6DBE493D"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Není příliš obvyklé vidět pozitivní ekonomické ukazatele v kontextu narušení dodavatelského řetězce způsobeného stále probíhající celosvětovou pandemií. Nejnovější údaje naznačují, že podle CECIMO produkce MT v roce 2021 při růstu o 11,5 % dosáhne obratu 22,5 miliardy eur. S podílem přibližně 33 % si země CECIMO udržují přední pozici na světovém trhu MT. Pro odvětví MT se předpokládá vzestupná trajektorie i v roce 2022.</w:t>
      </w:r>
    </w:p>
    <w:p w14:paraId="585FE252" w14:textId="77777777" w:rsidR="005C0214" w:rsidRPr="0047092F" w:rsidRDefault="005C0214" w:rsidP="00A34256">
      <w:pPr>
        <w:spacing w:after="0"/>
        <w:jc w:val="both"/>
        <w:rPr>
          <w:rFonts w:ascii="Tahoma" w:hAnsi="Tahoma" w:cs="Tahoma"/>
          <w:b/>
          <w:bCs/>
          <w:sz w:val="24"/>
          <w:szCs w:val="24"/>
        </w:rPr>
      </w:pPr>
      <w:r w:rsidRPr="0047092F">
        <w:rPr>
          <w:rFonts w:ascii="Tahoma" w:hAnsi="Tahoma" w:cs="Tahoma"/>
          <w:b/>
          <w:bCs/>
          <w:sz w:val="24"/>
          <w:szCs w:val="24"/>
        </w:rPr>
        <w:t>Mezi další významné prognózy patří:</w:t>
      </w:r>
    </w:p>
    <w:p w14:paraId="717A3A1B"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Celkový vývoz MT a dovoz MT v roce 2021 se podle aktualizovaného odhadu meziročně zvýší o 12 % resp. 13 %. Německo, Itálie a Švýcarsko zůstávají hlavními vývozci CECIMO a dvěma hlavními vývozními destinacemi CECIMO mimo Evropu jsou Čína a Spojené státy. Japonsko, Čína a Tchaj-wan i nadále budou hlavními mimoevropskými dodavateli států CECIMO.</w:t>
      </w:r>
    </w:p>
    <w:p w14:paraId="7914013C" w14:textId="77777777" w:rsidR="005C0214" w:rsidRPr="005C0214" w:rsidRDefault="005C0214" w:rsidP="00A34256">
      <w:pPr>
        <w:spacing w:after="0"/>
        <w:jc w:val="both"/>
        <w:rPr>
          <w:rFonts w:ascii="Tahoma" w:hAnsi="Tahoma" w:cs="Tahoma"/>
          <w:sz w:val="24"/>
          <w:szCs w:val="24"/>
        </w:rPr>
      </w:pPr>
    </w:p>
    <w:p w14:paraId="0F805C80"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Ačkoli se očekává, že úroveň spotřeby MT v Severní a Jižní Americe a Asii v roce 2021 již dosáhla průměrné úrovně roku 2019, podle nejnovějších prognóz společnosti Oxford Economics se další oživení v Evropě odsouvá do roku 2022. Po 10,5% růstu spotřeby MT v roce 2021 se očekává vyšší růst spotřeby MT v zemích CECIMO v roce 2022 (+15,2 %). Nejvyšší tempo růstu v roce 2022 se očekává v oborech "Letectví a kosmonautika" a "Motorová vozidla a jejich díly".</w:t>
      </w:r>
    </w:p>
    <w:p w14:paraId="4A695E29" w14:textId="77777777" w:rsidR="005C0214" w:rsidRPr="005C0214" w:rsidRDefault="005C0214" w:rsidP="00A34256">
      <w:pPr>
        <w:spacing w:after="0"/>
        <w:jc w:val="both"/>
        <w:rPr>
          <w:rFonts w:ascii="Tahoma" w:hAnsi="Tahoma" w:cs="Tahoma"/>
          <w:sz w:val="24"/>
          <w:szCs w:val="24"/>
        </w:rPr>
      </w:pPr>
    </w:p>
    <w:p w14:paraId="474E258F"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 xml:space="preserve">Navzdory celkovému optimismu vyvolanému ekonomickými prognózami, přetrvávající globální problémy a jejich výrazný potenciál nelze ignorovat. V současné době je to například nejistota ohledně nových mutací COVID-19, rostoucí počty nakažených a na </w:t>
      </w:r>
      <w:r w:rsidRPr="005C0214">
        <w:rPr>
          <w:rFonts w:ascii="Tahoma" w:hAnsi="Tahoma" w:cs="Tahoma"/>
          <w:sz w:val="24"/>
          <w:szCs w:val="24"/>
        </w:rPr>
        <w:lastRenderedPageBreak/>
        <w:t>ně reagující nová opatření k omezení šíření infekce v evropských zemích mohou zpomalit růst.</w:t>
      </w:r>
    </w:p>
    <w:p w14:paraId="1C03B08C" w14:textId="77777777" w:rsidR="005C0214" w:rsidRPr="005C0214" w:rsidRDefault="005C0214" w:rsidP="00A34256">
      <w:pPr>
        <w:spacing w:after="0"/>
        <w:jc w:val="both"/>
        <w:rPr>
          <w:rFonts w:ascii="Tahoma" w:hAnsi="Tahoma" w:cs="Tahoma"/>
          <w:sz w:val="24"/>
          <w:szCs w:val="24"/>
        </w:rPr>
      </w:pPr>
    </w:p>
    <w:p w14:paraId="5498BD48"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 xml:space="preserve">Kromě toho jsou ve všech nákupních odvětvích MT patrné nedostatky ve fungování dodavatelských řetězců, přičemž automobilový průmysl je zasažen nejvíce. Hlavním viníkem je v této souvislosti krize výroby a dodávek čipů. </w:t>
      </w:r>
    </w:p>
    <w:p w14:paraId="02A24582" w14:textId="77777777" w:rsidR="005C0214" w:rsidRPr="005C0214" w:rsidRDefault="005C0214" w:rsidP="00A34256">
      <w:pPr>
        <w:spacing w:after="0"/>
        <w:jc w:val="both"/>
        <w:rPr>
          <w:rFonts w:ascii="Tahoma" w:hAnsi="Tahoma" w:cs="Tahoma"/>
          <w:sz w:val="24"/>
          <w:szCs w:val="24"/>
        </w:rPr>
      </w:pPr>
    </w:p>
    <w:p w14:paraId="2651313E"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Zásadní výzvy v oblasti dodavatelských řetězců by měly přetrvávat do poloviny roku 2022. Poté CECIMO očekává, že se poptávka hlavních nákupních odvětví postupně stabilizuje. Předpoklad pomalejšího oživení by samozřejmě mohl narušit běžné obchodní aktivity a ovlivnit celkovou poptávku. Jak nicméně zdůraznil člen představenstva CECIMO Dr. Hans-Martin Schneeberger: "Výhled poptávky po produktech MT by měl i nadále zůstat pozitivní, a proto očekáváme cestu růstu směrem k opětovnému dosažení úrovně výroby z roku 2019."</w:t>
      </w:r>
    </w:p>
    <w:p w14:paraId="13DAE707" w14:textId="77777777" w:rsidR="005C0214" w:rsidRPr="005C0214" w:rsidRDefault="005C0214" w:rsidP="00A34256">
      <w:pPr>
        <w:spacing w:after="0"/>
        <w:jc w:val="both"/>
        <w:rPr>
          <w:rFonts w:ascii="Tahoma" w:hAnsi="Tahoma" w:cs="Tahoma"/>
          <w:sz w:val="24"/>
          <w:szCs w:val="24"/>
        </w:rPr>
      </w:pPr>
    </w:p>
    <w:p w14:paraId="4FDDB74E"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Předseda hospodářského výboru pan Marcus Burton akcentoval další významnou dlouhodobou výzvu pro náš sektor - přechod od konvenčních vozidel k elektrickým. V této souvislosti řekl: "Není pochyb o tom, že elektrická vozidla jsou budoucností a jsou stále více podporována politickými rozhodnutími jednotlivých vlád", ale současně také upozornil: "I když jsme si vědomi toho, že tento přechod jistě ovlivní profil požadavků na MT ze strany automobilového sektoru, očekáváme, že celková poptávka po MT zůstane i nadále silná, a jsme přesvědčeni, že naši výrobci jsou dostatečně flexibilní, aby se nové situaci přizpůsobili a vyhověli měnícím se požadavkům."</w:t>
      </w:r>
    </w:p>
    <w:p w14:paraId="07CE1B48" w14:textId="77777777" w:rsidR="005C0214" w:rsidRPr="005C0214" w:rsidRDefault="005C0214" w:rsidP="00A34256">
      <w:pPr>
        <w:spacing w:after="0"/>
        <w:jc w:val="both"/>
        <w:rPr>
          <w:rFonts w:ascii="Tahoma" w:hAnsi="Tahoma" w:cs="Tahoma"/>
          <w:sz w:val="24"/>
          <w:szCs w:val="24"/>
        </w:rPr>
      </w:pPr>
    </w:p>
    <w:p w14:paraId="08F95ADF"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Co se týče sektoru aditivní výroby, CECIMO každých šest měsíců vyhlašuje výsledky průzkumu AM na evropské úrovni. Na základě výsledků podzimního průzkumu se očekává, že růstová trajektorie oboru AM bude pokračovat i v následujícím období díky scénáři růstu domácích i zahraničních trhů. Zatímco růst AM zakázek očekáváme ve všech hlavních nákupních sektorech, sektor zdravotnictví vykázal kladné čisté saldo ve výši 82 % a udržel si tak nejvyšší skóre mezi sektory.</w:t>
      </w:r>
    </w:p>
    <w:p w14:paraId="611FDBF3" w14:textId="77777777" w:rsidR="005C0214" w:rsidRPr="005C0214" w:rsidRDefault="005C0214" w:rsidP="00A34256">
      <w:pPr>
        <w:spacing w:after="0"/>
        <w:jc w:val="both"/>
        <w:rPr>
          <w:rFonts w:ascii="Tahoma" w:hAnsi="Tahoma" w:cs="Tahoma"/>
          <w:sz w:val="24"/>
          <w:szCs w:val="24"/>
        </w:rPr>
      </w:pPr>
    </w:p>
    <w:p w14:paraId="1E45E94C" w14:textId="77777777" w:rsidR="005C0214" w:rsidRPr="0047092F" w:rsidRDefault="005C0214" w:rsidP="00A34256">
      <w:pPr>
        <w:spacing w:after="0"/>
        <w:jc w:val="both"/>
        <w:rPr>
          <w:rFonts w:ascii="Tahoma" w:hAnsi="Tahoma" w:cs="Tahoma"/>
          <w:b/>
          <w:bCs/>
          <w:sz w:val="24"/>
          <w:szCs w:val="24"/>
        </w:rPr>
      </w:pPr>
      <w:r w:rsidRPr="0047092F">
        <w:rPr>
          <w:rFonts w:ascii="Tahoma" w:hAnsi="Tahoma" w:cs="Tahoma"/>
          <w:b/>
          <w:bCs/>
          <w:sz w:val="24"/>
          <w:szCs w:val="24"/>
        </w:rPr>
        <w:t>Dlouhodobé koncepce</w:t>
      </w:r>
    </w:p>
    <w:p w14:paraId="7B13D149" w14:textId="77777777" w:rsidR="005C0214" w:rsidRPr="005C0214" w:rsidRDefault="005C0214" w:rsidP="00A34256">
      <w:pPr>
        <w:spacing w:after="0"/>
        <w:jc w:val="both"/>
        <w:rPr>
          <w:rFonts w:ascii="Tahoma" w:hAnsi="Tahoma" w:cs="Tahoma"/>
          <w:sz w:val="24"/>
          <w:szCs w:val="24"/>
        </w:rPr>
      </w:pPr>
      <w:r w:rsidRPr="005C0214">
        <w:rPr>
          <w:rFonts w:ascii="Tahoma" w:hAnsi="Tahoma" w:cs="Tahoma"/>
          <w:sz w:val="24"/>
          <w:szCs w:val="24"/>
        </w:rPr>
        <w:t>V rámci Valného shromáždění uspořádalo CECIMO také webinář, na kterém se diskutovalo o Průmyslové a výrobní strategii EU. Významní politici se zapojili do živé debaty o výzvách a příležitostech digitální transformace ve výrobě a o úloze výzkumu a inovací při podpoře dvojí transformace ve výrobním sektoru.</w:t>
      </w:r>
    </w:p>
    <w:p w14:paraId="4250E511" w14:textId="77777777" w:rsidR="005C0214" w:rsidRPr="005C0214" w:rsidRDefault="005C0214" w:rsidP="00A34256">
      <w:pPr>
        <w:spacing w:after="0"/>
        <w:jc w:val="both"/>
        <w:rPr>
          <w:rFonts w:ascii="Tahoma" w:hAnsi="Tahoma" w:cs="Tahoma"/>
          <w:sz w:val="24"/>
          <w:szCs w:val="24"/>
        </w:rPr>
      </w:pPr>
    </w:p>
    <w:p w14:paraId="4EF0204E" w14:textId="34708748" w:rsidR="002A4373" w:rsidRDefault="005C0214" w:rsidP="00A34256">
      <w:pPr>
        <w:spacing w:after="0"/>
        <w:jc w:val="both"/>
        <w:rPr>
          <w:rFonts w:ascii="Tahoma" w:hAnsi="Tahoma" w:cs="Tahoma"/>
          <w:sz w:val="24"/>
          <w:szCs w:val="24"/>
        </w:rPr>
      </w:pPr>
      <w:r w:rsidRPr="005C0214">
        <w:rPr>
          <w:rFonts w:ascii="Tahoma" w:hAnsi="Tahoma" w:cs="Tahoma"/>
          <w:sz w:val="24"/>
          <w:szCs w:val="24"/>
        </w:rPr>
        <w:t>Během panelové diskuse se průmyslníci podělili o své názory na digitální transformaci a zdůraznili potřeby odvětví při zavádění digitálních řešení. V této souvislosti se členové CECIMO zabývali skutečností, že spolupráce a sdílení dat jsou prvními kroky při šíření nových technologií v prostředí průmyslu.</w:t>
      </w:r>
    </w:p>
    <w:p w14:paraId="580AFE18" w14:textId="5F8EC9B5" w:rsidR="005C0214" w:rsidRDefault="00A34256" w:rsidP="00A34256">
      <w:pPr>
        <w:spacing w:after="0"/>
        <w:jc w:val="both"/>
        <w:rPr>
          <w:rFonts w:ascii="Tahoma" w:hAnsi="Tahoma" w:cs="Tahoma"/>
          <w:sz w:val="24"/>
          <w:szCs w:val="24"/>
        </w:rPr>
      </w:pPr>
      <w:hyperlink r:id="rId16" w:history="1">
        <w:r w:rsidR="005C0214" w:rsidRPr="00825435">
          <w:rPr>
            <w:rStyle w:val="Hypertextovodkaz"/>
            <w:rFonts w:ascii="Tahoma" w:hAnsi="Tahoma" w:cs="Tahoma"/>
            <w:sz w:val="24"/>
            <w:szCs w:val="24"/>
          </w:rPr>
          <w:t>www.cecimo.eu</w:t>
        </w:r>
      </w:hyperlink>
      <w:r w:rsidR="005C0214">
        <w:rPr>
          <w:rFonts w:ascii="Tahoma" w:hAnsi="Tahoma" w:cs="Tahoma"/>
          <w:sz w:val="24"/>
          <w:szCs w:val="24"/>
        </w:rPr>
        <w:t xml:space="preserve"> </w:t>
      </w:r>
    </w:p>
    <w:p w14:paraId="44DE2523" w14:textId="6D5CCFF7" w:rsidR="00F93F40" w:rsidRPr="00F93F40" w:rsidRDefault="00F93F40" w:rsidP="00A34256">
      <w:pPr>
        <w:numPr>
          <w:ilvl w:val="0"/>
          <w:numId w:val="20"/>
        </w:numPr>
        <w:spacing w:after="0"/>
        <w:jc w:val="both"/>
        <w:rPr>
          <w:rFonts w:ascii="Tahoma" w:hAnsi="Tahoma" w:cs="Tahoma"/>
          <w:b/>
          <w:color w:val="0070C0"/>
          <w:sz w:val="32"/>
          <w:szCs w:val="32"/>
          <w:u w:val="single"/>
        </w:rPr>
      </w:pPr>
      <w:bookmarkStart w:id="1" w:name="_Hlk97287894"/>
      <w:r w:rsidRPr="00F93F40">
        <w:rPr>
          <w:rFonts w:ascii="Tahoma" w:hAnsi="Tahoma" w:cs="Tahoma"/>
          <w:b/>
          <w:color w:val="0070C0"/>
          <w:sz w:val="32"/>
          <w:szCs w:val="32"/>
          <w:u w:val="single"/>
        </w:rPr>
        <w:lastRenderedPageBreak/>
        <w:t>Reakce CECIMO na návrh evropského zákona o čipech</w:t>
      </w:r>
    </w:p>
    <w:bookmarkEnd w:id="1"/>
    <w:p w14:paraId="69523C38" w14:textId="12DD20D0" w:rsidR="005C0214" w:rsidRDefault="005C0214" w:rsidP="00A34256">
      <w:pPr>
        <w:spacing w:after="0"/>
        <w:jc w:val="both"/>
        <w:rPr>
          <w:rFonts w:ascii="Tahoma" w:hAnsi="Tahoma" w:cs="Tahoma"/>
          <w:sz w:val="24"/>
          <w:szCs w:val="24"/>
        </w:rPr>
      </w:pPr>
    </w:p>
    <w:p w14:paraId="3B7EEA86" w14:textId="55EE3BEF" w:rsidR="00F93F40" w:rsidRPr="00F93F40" w:rsidRDefault="00F93F40" w:rsidP="00A34256">
      <w:pPr>
        <w:spacing w:after="0"/>
        <w:jc w:val="both"/>
        <w:rPr>
          <w:rFonts w:ascii="Tahoma" w:hAnsi="Tahoma" w:cs="Tahoma"/>
          <w:sz w:val="24"/>
          <w:szCs w:val="24"/>
        </w:rPr>
      </w:pPr>
      <w:r>
        <w:rPr>
          <w:rFonts w:ascii="Tahoma" w:hAnsi="Tahoma" w:cs="Tahoma"/>
          <w:sz w:val="24"/>
          <w:szCs w:val="24"/>
        </w:rPr>
        <w:t>Evropská asociace průmyslu výrobních strojů zveřejnila svou reakci na návrh E</w:t>
      </w:r>
      <w:r w:rsidRPr="00F93F40">
        <w:rPr>
          <w:rFonts w:ascii="Tahoma" w:hAnsi="Tahoma" w:cs="Tahoma"/>
          <w:sz w:val="24"/>
          <w:szCs w:val="24"/>
        </w:rPr>
        <w:t>vro</w:t>
      </w:r>
      <w:r>
        <w:rPr>
          <w:rFonts w:ascii="Tahoma" w:hAnsi="Tahoma" w:cs="Tahoma"/>
          <w:sz w:val="24"/>
          <w:szCs w:val="24"/>
        </w:rPr>
        <w:t>pského aktu o čipech, který předložila Evropská k</w:t>
      </w:r>
      <w:r w:rsidRPr="00F93F40">
        <w:rPr>
          <w:rFonts w:ascii="Tahoma" w:hAnsi="Tahoma" w:cs="Tahoma"/>
          <w:sz w:val="24"/>
          <w:szCs w:val="24"/>
        </w:rPr>
        <w:t xml:space="preserve">omise. </w:t>
      </w:r>
    </w:p>
    <w:p w14:paraId="0EF7EA9A" w14:textId="77777777" w:rsidR="00F93F40" w:rsidRPr="00F93F40" w:rsidRDefault="00F93F40" w:rsidP="00A34256">
      <w:pPr>
        <w:spacing w:after="0"/>
        <w:jc w:val="both"/>
        <w:rPr>
          <w:rFonts w:ascii="Tahoma" w:hAnsi="Tahoma" w:cs="Tahoma"/>
          <w:sz w:val="24"/>
          <w:szCs w:val="24"/>
        </w:rPr>
      </w:pPr>
    </w:p>
    <w:p w14:paraId="57EFDA34" w14:textId="51BD2BAB" w:rsidR="00F93F40" w:rsidRPr="00F93F40" w:rsidRDefault="00F93F40" w:rsidP="00A34256">
      <w:pPr>
        <w:spacing w:after="0"/>
        <w:jc w:val="both"/>
        <w:rPr>
          <w:rFonts w:ascii="Tahoma" w:hAnsi="Tahoma" w:cs="Tahoma"/>
          <w:b/>
          <w:sz w:val="24"/>
          <w:szCs w:val="24"/>
        </w:rPr>
      </w:pPr>
      <w:r w:rsidRPr="00F93F40">
        <w:rPr>
          <w:rFonts w:ascii="Tahoma" w:hAnsi="Tahoma" w:cs="Tahoma"/>
          <w:b/>
          <w:sz w:val="24"/>
          <w:szCs w:val="24"/>
        </w:rPr>
        <w:t xml:space="preserve">CECIMO podporuje cíl Evropské komise snížit závislost a tím i zranitelnost dodavatelského řetězce a rozvíjet strategickou autonomii ve výrobě polovodičů, jak je uvedeno v návrhu. </w:t>
      </w:r>
    </w:p>
    <w:p w14:paraId="2792E8F0" w14:textId="77777777" w:rsidR="00F93F40" w:rsidRPr="00F93F40" w:rsidRDefault="00F93F40" w:rsidP="00A34256">
      <w:pPr>
        <w:spacing w:after="0"/>
        <w:jc w:val="both"/>
        <w:rPr>
          <w:rFonts w:ascii="Tahoma" w:hAnsi="Tahoma" w:cs="Tahoma"/>
          <w:sz w:val="24"/>
          <w:szCs w:val="24"/>
        </w:rPr>
      </w:pPr>
    </w:p>
    <w:p w14:paraId="49FF162E" w14:textId="614131C2" w:rsidR="00F93F40" w:rsidRPr="00F93F40" w:rsidRDefault="00F93F40" w:rsidP="00A34256">
      <w:pPr>
        <w:spacing w:after="0"/>
        <w:jc w:val="both"/>
        <w:rPr>
          <w:rFonts w:ascii="Tahoma" w:hAnsi="Tahoma" w:cs="Tahoma"/>
          <w:sz w:val="24"/>
          <w:szCs w:val="24"/>
        </w:rPr>
      </w:pPr>
      <w:r w:rsidRPr="00F93F40">
        <w:rPr>
          <w:rFonts w:ascii="Tahoma" w:hAnsi="Tahoma" w:cs="Tahoma"/>
          <w:sz w:val="24"/>
          <w:szCs w:val="24"/>
        </w:rPr>
        <w:t>EU si stanovila ambiciózní cíl</w:t>
      </w:r>
      <w:r>
        <w:rPr>
          <w:rFonts w:ascii="Tahoma" w:hAnsi="Tahoma" w:cs="Tahoma"/>
          <w:sz w:val="24"/>
          <w:szCs w:val="24"/>
        </w:rPr>
        <w:t>:</w:t>
      </w:r>
      <w:r w:rsidRPr="00F93F40">
        <w:rPr>
          <w:rFonts w:ascii="Tahoma" w:hAnsi="Tahoma" w:cs="Tahoma"/>
          <w:sz w:val="24"/>
          <w:szCs w:val="24"/>
        </w:rPr>
        <w:t xml:space="preserve"> dosáhnout do roku 2030 20% podílu polovodičů na trhu a pro uvedené období předpokládá 43 miliard veřejných a soukromých investic.</w:t>
      </w:r>
    </w:p>
    <w:p w14:paraId="5A02B821" w14:textId="77777777" w:rsidR="00F93F40" w:rsidRPr="00F93F40" w:rsidRDefault="00F93F40" w:rsidP="00A34256">
      <w:pPr>
        <w:spacing w:after="0"/>
        <w:jc w:val="both"/>
        <w:rPr>
          <w:rFonts w:ascii="Tahoma" w:hAnsi="Tahoma" w:cs="Tahoma"/>
          <w:sz w:val="24"/>
          <w:szCs w:val="24"/>
        </w:rPr>
      </w:pPr>
    </w:p>
    <w:p w14:paraId="355EA687" w14:textId="6D1CF622" w:rsidR="00F93F40" w:rsidRPr="00F93F40" w:rsidRDefault="00F93F40" w:rsidP="00A34256">
      <w:pPr>
        <w:spacing w:after="0"/>
        <w:jc w:val="both"/>
        <w:rPr>
          <w:rFonts w:ascii="Tahoma" w:hAnsi="Tahoma" w:cs="Tahoma"/>
          <w:sz w:val="24"/>
          <w:szCs w:val="24"/>
        </w:rPr>
      </w:pPr>
      <w:r w:rsidRPr="00F93F40">
        <w:rPr>
          <w:rFonts w:ascii="Tahoma" w:hAnsi="Tahoma" w:cs="Tahoma"/>
          <w:sz w:val="24"/>
          <w:szCs w:val="24"/>
        </w:rPr>
        <w:t xml:space="preserve">Současný nedostatek bude pravděpodobně trvat do roku 2023 nebo 2024. Proto se </w:t>
      </w:r>
      <w:r>
        <w:rPr>
          <w:rFonts w:ascii="Tahoma" w:hAnsi="Tahoma" w:cs="Tahoma"/>
          <w:sz w:val="24"/>
          <w:szCs w:val="24"/>
        </w:rPr>
        <w:t>zástupci sektoru výrobních strojů domnívají</w:t>
      </w:r>
      <w:r w:rsidRPr="00F93F40">
        <w:rPr>
          <w:rFonts w:ascii="Tahoma" w:hAnsi="Tahoma" w:cs="Tahoma"/>
          <w:sz w:val="24"/>
          <w:szCs w:val="24"/>
        </w:rPr>
        <w:t xml:space="preserve"> že je nutné přijmout strategii, která:</w:t>
      </w:r>
    </w:p>
    <w:p w14:paraId="0B274909" w14:textId="77777777" w:rsidR="00F93F40" w:rsidRPr="00F93F40" w:rsidRDefault="00F93F40" w:rsidP="00A34256">
      <w:pPr>
        <w:spacing w:after="0"/>
        <w:jc w:val="both"/>
        <w:rPr>
          <w:rFonts w:ascii="Tahoma" w:hAnsi="Tahoma" w:cs="Tahoma"/>
          <w:sz w:val="24"/>
          <w:szCs w:val="24"/>
        </w:rPr>
      </w:pPr>
    </w:p>
    <w:p w14:paraId="7D299663" w14:textId="1DE1665F" w:rsidR="00F93F40" w:rsidRPr="00F93F40" w:rsidRDefault="00F93F40" w:rsidP="00A34256">
      <w:pPr>
        <w:pStyle w:val="Odstavecseseznamem"/>
        <w:numPr>
          <w:ilvl w:val="0"/>
          <w:numId w:val="37"/>
        </w:numPr>
        <w:spacing w:after="0"/>
        <w:jc w:val="both"/>
        <w:rPr>
          <w:rFonts w:ascii="Tahoma" w:hAnsi="Tahoma" w:cs="Tahoma"/>
          <w:sz w:val="24"/>
          <w:szCs w:val="24"/>
        </w:rPr>
      </w:pPr>
      <w:r w:rsidRPr="00F93F40">
        <w:rPr>
          <w:rFonts w:ascii="Tahoma" w:hAnsi="Tahoma" w:cs="Tahoma"/>
          <w:sz w:val="24"/>
          <w:szCs w:val="24"/>
        </w:rPr>
        <w:t>zmírní současnou krizi dodavatelského řetězce tím, že podpoří ta odvětví, která zaznamenala zpomalení výroby (např. automobilový průmysl).</w:t>
      </w:r>
    </w:p>
    <w:p w14:paraId="3F7B560A" w14:textId="77777777" w:rsidR="00F93F40" w:rsidRPr="00F93F40" w:rsidRDefault="00F93F40" w:rsidP="00A34256">
      <w:pPr>
        <w:spacing w:after="0"/>
        <w:jc w:val="both"/>
        <w:rPr>
          <w:rFonts w:ascii="Tahoma" w:hAnsi="Tahoma" w:cs="Tahoma"/>
          <w:sz w:val="24"/>
          <w:szCs w:val="24"/>
        </w:rPr>
      </w:pPr>
    </w:p>
    <w:p w14:paraId="79A0A40E" w14:textId="35DB243B" w:rsidR="00F93F40" w:rsidRDefault="00F93F40" w:rsidP="00A34256">
      <w:pPr>
        <w:pStyle w:val="Odstavecseseznamem"/>
        <w:numPr>
          <w:ilvl w:val="0"/>
          <w:numId w:val="37"/>
        </w:numPr>
        <w:spacing w:after="0"/>
        <w:jc w:val="both"/>
        <w:rPr>
          <w:rFonts w:ascii="Tahoma" w:hAnsi="Tahoma" w:cs="Tahoma"/>
          <w:sz w:val="24"/>
          <w:szCs w:val="24"/>
        </w:rPr>
      </w:pPr>
      <w:r>
        <w:rPr>
          <w:rFonts w:ascii="Tahoma" w:hAnsi="Tahoma" w:cs="Tahoma"/>
          <w:sz w:val="24"/>
          <w:szCs w:val="24"/>
        </w:rPr>
        <w:t>z</w:t>
      </w:r>
      <w:r w:rsidRPr="00F93F40">
        <w:rPr>
          <w:rFonts w:ascii="Tahoma" w:hAnsi="Tahoma" w:cs="Tahoma"/>
          <w:sz w:val="24"/>
          <w:szCs w:val="24"/>
        </w:rPr>
        <w:t>aručuje cílené investice, aby se zabránilo poklesu konkurenceschopnosti, snížení podílu na trhu, ztrátě technologické autonomie atd.</w:t>
      </w:r>
    </w:p>
    <w:p w14:paraId="13F1D4D5" w14:textId="77777777" w:rsidR="006F65DD" w:rsidRPr="006F65DD" w:rsidRDefault="006F65DD" w:rsidP="00A34256">
      <w:pPr>
        <w:pStyle w:val="Odstavecseseznamem"/>
        <w:spacing w:after="0"/>
        <w:rPr>
          <w:rFonts w:ascii="Tahoma" w:hAnsi="Tahoma" w:cs="Tahoma"/>
          <w:sz w:val="24"/>
          <w:szCs w:val="24"/>
        </w:rPr>
      </w:pPr>
    </w:p>
    <w:p w14:paraId="31869AEA" w14:textId="77777777" w:rsidR="006F65DD" w:rsidRPr="00F93F40" w:rsidRDefault="006F65DD" w:rsidP="00A34256">
      <w:pPr>
        <w:pStyle w:val="Odstavecseseznamem"/>
        <w:spacing w:after="0"/>
        <w:jc w:val="both"/>
        <w:rPr>
          <w:rFonts w:ascii="Tahoma" w:hAnsi="Tahoma" w:cs="Tahoma"/>
          <w:sz w:val="24"/>
          <w:szCs w:val="24"/>
        </w:rPr>
      </w:pPr>
    </w:p>
    <w:p w14:paraId="22C2B8E7" w14:textId="0E11A2B8" w:rsidR="00F93F40" w:rsidRDefault="006F65DD" w:rsidP="00A34256">
      <w:pPr>
        <w:spacing w:after="0"/>
        <w:jc w:val="center"/>
        <w:rPr>
          <w:rFonts w:ascii="Tahoma" w:hAnsi="Tahoma" w:cs="Tahoma"/>
          <w:sz w:val="24"/>
          <w:szCs w:val="24"/>
        </w:rPr>
      </w:pPr>
      <w:r>
        <w:rPr>
          <w:noProof/>
          <w:lang w:eastAsia="cs-CZ"/>
        </w:rPr>
        <w:drawing>
          <wp:inline distT="0" distB="0" distL="0" distR="0" wp14:anchorId="559C257D" wp14:editId="268AF6E8">
            <wp:extent cx="4359600" cy="2905200"/>
            <wp:effectExtent l="0" t="0" r="3175" b="0"/>
            <wp:docPr id="4" name="obrázek 2" descr="Intel chce v Evropě postavit dvě továrny na čipy. O umístění nově soupeří i  Ř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 chce v Evropě postavit dvě továrny na čipy. O umístění nově soupeří i  Ří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59600" cy="2905200"/>
                    </a:xfrm>
                    <a:prstGeom prst="rect">
                      <a:avLst/>
                    </a:prstGeom>
                    <a:noFill/>
                    <a:ln>
                      <a:noFill/>
                    </a:ln>
                  </pic:spPr>
                </pic:pic>
              </a:graphicData>
            </a:graphic>
          </wp:inline>
        </w:drawing>
      </w:r>
    </w:p>
    <w:p w14:paraId="47391130" w14:textId="77777777" w:rsidR="006F65DD" w:rsidRDefault="006F65DD" w:rsidP="00A34256">
      <w:pPr>
        <w:spacing w:after="0"/>
        <w:jc w:val="both"/>
        <w:rPr>
          <w:rFonts w:ascii="Tahoma" w:hAnsi="Tahoma" w:cs="Tahoma"/>
          <w:sz w:val="24"/>
          <w:szCs w:val="24"/>
        </w:rPr>
      </w:pPr>
    </w:p>
    <w:p w14:paraId="735532CE" w14:textId="77777777" w:rsidR="006F65DD" w:rsidRPr="00F93F40" w:rsidRDefault="006F65DD" w:rsidP="00A34256">
      <w:pPr>
        <w:spacing w:after="0"/>
        <w:jc w:val="both"/>
        <w:rPr>
          <w:rFonts w:ascii="Tahoma" w:hAnsi="Tahoma" w:cs="Tahoma"/>
          <w:sz w:val="24"/>
          <w:szCs w:val="24"/>
        </w:rPr>
      </w:pPr>
    </w:p>
    <w:p w14:paraId="0140C4B1" w14:textId="641DF96D" w:rsidR="00F93F40" w:rsidRPr="00F93F40" w:rsidRDefault="00F93F40" w:rsidP="00A34256">
      <w:pPr>
        <w:spacing w:after="0"/>
        <w:jc w:val="both"/>
        <w:rPr>
          <w:rFonts w:ascii="Tahoma" w:hAnsi="Tahoma" w:cs="Tahoma"/>
          <w:sz w:val="24"/>
          <w:szCs w:val="24"/>
        </w:rPr>
      </w:pPr>
      <w:r w:rsidRPr="00F93F40">
        <w:rPr>
          <w:rFonts w:ascii="Tahoma" w:hAnsi="Tahoma" w:cs="Tahoma"/>
          <w:sz w:val="24"/>
          <w:szCs w:val="24"/>
        </w:rPr>
        <w:t>Dlouhodobé cíle stanovené v zákoně o čipech budou mít zásadní význam pro snížení evropské str</w:t>
      </w:r>
      <w:r>
        <w:rPr>
          <w:rFonts w:ascii="Tahoma" w:hAnsi="Tahoma" w:cs="Tahoma"/>
          <w:sz w:val="24"/>
          <w:szCs w:val="24"/>
        </w:rPr>
        <w:t>ategické závislosti. Dá se předpokládat</w:t>
      </w:r>
      <w:r w:rsidRPr="00F93F40">
        <w:rPr>
          <w:rFonts w:ascii="Tahoma" w:hAnsi="Tahoma" w:cs="Tahoma"/>
          <w:sz w:val="24"/>
          <w:szCs w:val="24"/>
        </w:rPr>
        <w:t xml:space="preserve">, že některá hotová řešení (např. </w:t>
      </w:r>
      <w:r w:rsidRPr="00F93F40">
        <w:rPr>
          <w:rFonts w:ascii="Tahoma" w:hAnsi="Tahoma" w:cs="Tahoma"/>
          <w:sz w:val="24"/>
          <w:szCs w:val="24"/>
        </w:rPr>
        <w:lastRenderedPageBreak/>
        <w:t>využití robotiky a aditivní výroby) mohou okamžitě podpořit odvětví polovodičů při účinném a efektivním posilování jejich dodavatelských řetězců.</w:t>
      </w:r>
    </w:p>
    <w:p w14:paraId="2CC66516" w14:textId="77777777" w:rsidR="00F93F40" w:rsidRPr="00F93F40" w:rsidRDefault="00F93F40" w:rsidP="00A34256">
      <w:pPr>
        <w:spacing w:after="0"/>
        <w:jc w:val="both"/>
        <w:rPr>
          <w:rFonts w:ascii="Tahoma" w:hAnsi="Tahoma" w:cs="Tahoma"/>
          <w:sz w:val="24"/>
          <w:szCs w:val="24"/>
        </w:rPr>
      </w:pPr>
    </w:p>
    <w:p w14:paraId="5220CBF8" w14:textId="1036B238" w:rsidR="00F93F40" w:rsidRPr="00F93F40" w:rsidRDefault="00F93F40" w:rsidP="00A34256">
      <w:pPr>
        <w:spacing w:after="0"/>
        <w:jc w:val="both"/>
        <w:rPr>
          <w:rFonts w:ascii="Tahoma" w:hAnsi="Tahoma" w:cs="Tahoma"/>
          <w:sz w:val="24"/>
          <w:szCs w:val="24"/>
        </w:rPr>
      </w:pPr>
      <w:r>
        <w:rPr>
          <w:rFonts w:ascii="Tahoma" w:hAnsi="Tahoma" w:cs="Tahoma"/>
          <w:sz w:val="24"/>
          <w:szCs w:val="24"/>
        </w:rPr>
        <w:t>S</w:t>
      </w:r>
      <w:r w:rsidRPr="00F93F40">
        <w:rPr>
          <w:rFonts w:ascii="Tahoma" w:hAnsi="Tahoma" w:cs="Tahoma"/>
          <w:sz w:val="24"/>
          <w:szCs w:val="24"/>
        </w:rPr>
        <w:t>polupráce mezi aktéry v odvětví vyspělé výroby by mohla vést k</w:t>
      </w:r>
      <w:r>
        <w:rPr>
          <w:rFonts w:ascii="Tahoma" w:hAnsi="Tahoma" w:cs="Tahoma"/>
          <w:sz w:val="24"/>
          <w:szCs w:val="24"/>
        </w:rPr>
        <w:t xml:space="preserve"> rychlejší reakci na tyto problémy</w:t>
      </w:r>
      <w:r w:rsidRPr="00F93F40">
        <w:rPr>
          <w:rFonts w:ascii="Tahoma" w:hAnsi="Tahoma" w:cs="Tahoma"/>
          <w:sz w:val="24"/>
          <w:szCs w:val="24"/>
        </w:rPr>
        <w:t xml:space="preserve"> a v konečném důsledku</w:t>
      </w:r>
      <w:r>
        <w:rPr>
          <w:rFonts w:ascii="Tahoma" w:hAnsi="Tahoma" w:cs="Tahoma"/>
          <w:sz w:val="24"/>
          <w:szCs w:val="24"/>
        </w:rPr>
        <w:t xml:space="preserve"> by mohla zvýšit odolnost evropského</w:t>
      </w:r>
      <w:r w:rsidRPr="00F93F40">
        <w:rPr>
          <w:rFonts w:ascii="Tahoma" w:hAnsi="Tahoma" w:cs="Tahoma"/>
          <w:sz w:val="24"/>
          <w:szCs w:val="24"/>
        </w:rPr>
        <w:t xml:space="preserve"> vnitřního trhu vůči budoucím nedostatkům</w:t>
      </w:r>
      <w:r>
        <w:rPr>
          <w:rFonts w:ascii="Tahoma" w:hAnsi="Tahoma" w:cs="Tahoma"/>
          <w:sz w:val="24"/>
          <w:szCs w:val="24"/>
        </w:rPr>
        <w:t xml:space="preserve"> a krizím. Z hlediska odvětví MT je třeba</w:t>
      </w:r>
      <w:r w:rsidR="006F65DD">
        <w:rPr>
          <w:rFonts w:ascii="Tahoma" w:hAnsi="Tahoma" w:cs="Tahoma"/>
          <w:sz w:val="24"/>
          <w:szCs w:val="24"/>
        </w:rPr>
        <w:t xml:space="preserve"> podporovat diskusi k</w:t>
      </w:r>
      <w:r w:rsidRPr="00F93F40">
        <w:rPr>
          <w:rFonts w:ascii="Tahoma" w:hAnsi="Tahoma" w:cs="Tahoma"/>
          <w:sz w:val="24"/>
          <w:szCs w:val="24"/>
        </w:rPr>
        <w:t xml:space="preserve"> této otázce v rámci pracovní skupiny Průmyslového fóra č. 5 pro pokročilou výrobu.</w:t>
      </w:r>
    </w:p>
    <w:p w14:paraId="4F3DB94E" w14:textId="77777777" w:rsidR="00F93F40" w:rsidRPr="00F93F40" w:rsidRDefault="00F93F40" w:rsidP="00A34256">
      <w:pPr>
        <w:spacing w:after="0"/>
        <w:jc w:val="both"/>
        <w:rPr>
          <w:rFonts w:ascii="Tahoma" w:hAnsi="Tahoma" w:cs="Tahoma"/>
          <w:sz w:val="24"/>
          <w:szCs w:val="24"/>
        </w:rPr>
      </w:pPr>
    </w:p>
    <w:p w14:paraId="0DFABD28" w14:textId="2526D612" w:rsidR="00F93F40" w:rsidRPr="00F93F40" w:rsidRDefault="006F65DD" w:rsidP="00A34256">
      <w:pPr>
        <w:spacing w:after="0"/>
        <w:jc w:val="both"/>
        <w:rPr>
          <w:rFonts w:ascii="Tahoma" w:hAnsi="Tahoma" w:cs="Tahoma"/>
          <w:sz w:val="24"/>
          <w:szCs w:val="24"/>
        </w:rPr>
      </w:pPr>
      <w:r>
        <w:rPr>
          <w:rFonts w:ascii="Tahoma" w:hAnsi="Tahoma" w:cs="Tahoma"/>
          <w:sz w:val="24"/>
          <w:szCs w:val="24"/>
        </w:rPr>
        <w:t>CECIMO bude návrh dále zanalyzovat</w:t>
      </w:r>
      <w:r w:rsidR="00F93F40" w:rsidRPr="00F93F40">
        <w:rPr>
          <w:rFonts w:ascii="Tahoma" w:hAnsi="Tahoma" w:cs="Tahoma"/>
          <w:sz w:val="24"/>
          <w:szCs w:val="24"/>
        </w:rPr>
        <w:t xml:space="preserve"> a bude pokračovat ve spolupráci se všemi příslušnými zainteresovanými stranami z oboru.</w:t>
      </w:r>
    </w:p>
    <w:p w14:paraId="67375682" w14:textId="77777777" w:rsidR="00F93F40" w:rsidRPr="00F93F40" w:rsidRDefault="00F93F40" w:rsidP="00A34256">
      <w:pPr>
        <w:spacing w:after="0"/>
        <w:jc w:val="both"/>
        <w:rPr>
          <w:rFonts w:ascii="Tahoma" w:hAnsi="Tahoma" w:cs="Tahoma"/>
          <w:sz w:val="24"/>
          <w:szCs w:val="24"/>
        </w:rPr>
      </w:pPr>
    </w:p>
    <w:p w14:paraId="50FEB528" w14:textId="182633B0" w:rsidR="00F93F40" w:rsidRPr="006F65DD" w:rsidRDefault="006F65DD" w:rsidP="00A34256">
      <w:pPr>
        <w:spacing w:after="0"/>
        <w:jc w:val="both"/>
        <w:rPr>
          <w:rFonts w:ascii="Tahoma" w:hAnsi="Tahoma" w:cs="Tahoma"/>
          <w:b/>
          <w:sz w:val="24"/>
          <w:szCs w:val="24"/>
        </w:rPr>
      </w:pPr>
      <w:r w:rsidRPr="006F65DD">
        <w:rPr>
          <w:rFonts w:ascii="Tahoma" w:hAnsi="Tahoma" w:cs="Tahoma"/>
          <w:b/>
          <w:sz w:val="24"/>
          <w:szCs w:val="24"/>
        </w:rPr>
        <w:t>C</w:t>
      </w:r>
      <w:r w:rsidR="00F93F40" w:rsidRPr="006F65DD">
        <w:rPr>
          <w:rFonts w:ascii="Tahoma" w:hAnsi="Tahoma" w:cs="Tahoma"/>
          <w:b/>
          <w:sz w:val="24"/>
          <w:szCs w:val="24"/>
        </w:rPr>
        <w:t>ílem je přispět k rozvoji efektivního a odolného dodavatelského řetězce polovodičů, který mimo jiné přispěje k zachování vedoucího postavení Evropy v oblasti vyspělé výroby.</w:t>
      </w:r>
    </w:p>
    <w:p w14:paraId="5678AA01" w14:textId="2BAA21F8" w:rsidR="00F93F40" w:rsidRDefault="00F93F40" w:rsidP="00A34256">
      <w:pPr>
        <w:spacing w:after="0"/>
        <w:jc w:val="both"/>
        <w:rPr>
          <w:rFonts w:ascii="Tahoma" w:hAnsi="Tahoma" w:cs="Tahoma"/>
          <w:sz w:val="24"/>
          <w:szCs w:val="24"/>
        </w:rPr>
      </w:pPr>
    </w:p>
    <w:p w14:paraId="38E5EAE8" w14:textId="27802BB6" w:rsidR="00414E90" w:rsidRDefault="00414E90" w:rsidP="00A34256">
      <w:pPr>
        <w:spacing w:after="0"/>
        <w:jc w:val="both"/>
        <w:rPr>
          <w:rFonts w:ascii="Tahoma" w:hAnsi="Tahoma" w:cs="Tahoma"/>
          <w:sz w:val="24"/>
          <w:szCs w:val="24"/>
        </w:rPr>
      </w:pPr>
    </w:p>
    <w:p w14:paraId="7B19A6FA" w14:textId="332C65E3" w:rsidR="00414E90" w:rsidRDefault="00A34256" w:rsidP="00A34256">
      <w:pPr>
        <w:spacing w:after="0"/>
        <w:jc w:val="both"/>
        <w:rPr>
          <w:rFonts w:ascii="Tahoma" w:hAnsi="Tahoma" w:cs="Tahoma"/>
          <w:sz w:val="24"/>
          <w:szCs w:val="24"/>
        </w:rPr>
      </w:pPr>
      <w:hyperlink r:id="rId18" w:history="1">
        <w:r w:rsidR="00CA5C51" w:rsidRPr="009614CF">
          <w:rPr>
            <w:rStyle w:val="Hypertextovodkaz"/>
            <w:rFonts w:ascii="Tahoma" w:hAnsi="Tahoma" w:cs="Tahoma"/>
            <w:sz w:val="24"/>
            <w:szCs w:val="24"/>
          </w:rPr>
          <w:t>www.cecimo.eu</w:t>
        </w:r>
      </w:hyperlink>
      <w:r w:rsidR="00CA5C51">
        <w:rPr>
          <w:rFonts w:ascii="Tahoma" w:hAnsi="Tahoma" w:cs="Tahoma"/>
          <w:sz w:val="24"/>
          <w:szCs w:val="24"/>
        </w:rPr>
        <w:t xml:space="preserve"> </w:t>
      </w:r>
    </w:p>
    <w:p w14:paraId="68CCFF5F" w14:textId="1B6DDD3E" w:rsidR="00414E90" w:rsidRDefault="00414E90" w:rsidP="00A34256">
      <w:pPr>
        <w:spacing w:after="0"/>
        <w:jc w:val="both"/>
        <w:rPr>
          <w:rFonts w:ascii="Tahoma" w:hAnsi="Tahoma" w:cs="Tahoma"/>
          <w:sz w:val="24"/>
          <w:szCs w:val="24"/>
        </w:rPr>
      </w:pPr>
    </w:p>
    <w:p w14:paraId="60CD656B" w14:textId="77777777" w:rsidR="00414E90" w:rsidRDefault="00414E90" w:rsidP="00A34256">
      <w:pPr>
        <w:spacing w:after="0"/>
        <w:jc w:val="both"/>
        <w:rPr>
          <w:rFonts w:ascii="Tahoma" w:hAnsi="Tahoma" w:cs="Tahoma"/>
          <w:sz w:val="24"/>
          <w:szCs w:val="24"/>
        </w:rPr>
      </w:pPr>
    </w:p>
    <w:p w14:paraId="722ED656" w14:textId="37A56183" w:rsidR="00414E90" w:rsidRPr="00F93F40" w:rsidRDefault="00414E90" w:rsidP="00A34256">
      <w:pPr>
        <w:numPr>
          <w:ilvl w:val="0"/>
          <w:numId w:val="20"/>
        </w:numPr>
        <w:spacing w:after="0"/>
        <w:jc w:val="both"/>
        <w:rPr>
          <w:rFonts w:ascii="Tahoma" w:hAnsi="Tahoma" w:cs="Tahoma"/>
          <w:b/>
          <w:color w:val="0070C0"/>
          <w:sz w:val="32"/>
          <w:szCs w:val="32"/>
          <w:u w:val="single"/>
        </w:rPr>
      </w:pPr>
      <w:bookmarkStart w:id="2" w:name="_Hlk97288055"/>
      <w:r>
        <w:rPr>
          <w:rFonts w:ascii="Tahoma" w:hAnsi="Tahoma" w:cs="Tahoma"/>
          <w:b/>
          <w:color w:val="0070C0"/>
          <w:sz w:val="32"/>
          <w:szCs w:val="32"/>
          <w:u w:val="single"/>
        </w:rPr>
        <w:t>CECIMO k rusko-ukrajinské krizi – Dopad sankcí na odvětví obráběcích strojů</w:t>
      </w:r>
    </w:p>
    <w:bookmarkEnd w:id="2"/>
    <w:p w14:paraId="215CA73E" w14:textId="77777777" w:rsidR="00414E90" w:rsidRDefault="00414E90" w:rsidP="00A34256">
      <w:pPr>
        <w:spacing w:after="0"/>
        <w:rPr>
          <w:rFonts w:ascii="Tahoma" w:eastAsia="Calibri" w:hAnsi="Tahoma" w:cs="Tahoma"/>
          <w:b/>
          <w:bCs/>
          <w:sz w:val="24"/>
          <w:szCs w:val="24"/>
        </w:rPr>
      </w:pPr>
    </w:p>
    <w:p w14:paraId="2E415119" w14:textId="77777777" w:rsidR="00414E90" w:rsidRPr="00414E90" w:rsidRDefault="00414E90" w:rsidP="00A34256">
      <w:pPr>
        <w:spacing w:after="0"/>
        <w:rPr>
          <w:rFonts w:ascii="Tahoma" w:eastAsia="Calibri" w:hAnsi="Tahoma" w:cs="Tahoma"/>
          <w:b/>
          <w:bCs/>
          <w:sz w:val="24"/>
          <w:szCs w:val="24"/>
        </w:rPr>
      </w:pPr>
      <w:r w:rsidRPr="00414E90">
        <w:rPr>
          <w:rFonts w:ascii="Tahoma" w:eastAsia="Calibri" w:hAnsi="Tahoma" w:cs="Tahoma"/>
          <w:b/>
          <w:bCs/>
          <w:sz w:val="24"/>
          <w:szCs w:val="24"/>
        </w:rPr>
        <w:t xml:space="preserve">Pozadí </w:t>
      </w:r>
    </w:p>
    <w:p w14:paraId="1AD0F597" w14:textId="39F2B894" w:rsidR="00414E90" w:rsidRDefault="00414E90" w:rsidP="00A34256">
      <w:pPr>
        <w:spacing w:after="0"/>
        <w:jc w:val="both"/>
        <w:rPr>
          <w:rFonts w:ascii="Tahoma" w:eastAsia="Calibri" w:hAnsi="Tahoma" w:cs="Tahoma"/>
          <w:sz w:val="24"/>
          <w:szCs w:val="24"/>
        </w:rPr>
      </w:pPr>
      <w:r w:rsidRPr="00414E90">
        <w:rPr>
          <w:rFonts w:ascii="Tahoma" w:eastAsia="Calibri" w:hAnsi="Tahoma" w:cs="Tahoma"/>
          <w:b/>
          <w:bCs/>
          <w:sz w:val="24"/>
          <w:szCs w:val="24"/>
        </w:rPr>
        <w:t>V reakci na nezákonnou anexi Krymu a destabilizaci Ukrajiny v červenci a září 2014 zavedla E</w:t>
      </w:r>
      <w:r w:rsidR="00AE7A56" w:rsidRPr="00AE7A56">
        <w:rPr>
          <w:rFonts w:ascii="Tahoma" w:eastAsia="Calibri" w:hAnsi="Tahoma" w:cs="Tahoma"/>
          <w:b/>
          <w:bCs/>
          <w:sz w:val="24"/>
          <w:szCs w:val="24"/>
        </w:rPr>
        <w:t>vropská unie</w:t>
      </w:r>
      <w:r w:rsidRPr="00414E90">
        <w:rPr>
          <w:rFonts w:ascii="Tahoma" w:eastAsia="Calibri" w:hAnsi="Tahoma" w:cs="Tahoma"/>
          <w:b/>
          <w:bCs/>
          <w:sz w:val="24"/>
          <w:szCs w:val="24"/>
        </w:rPr>
        <w:t xml:space="preserve"> soubor hospodářských sankcí, které se zaměřily na obchodní výměnu s Ruskem v konkrétních odvětvích</w:t>
      </w:r>
      <w:r w:rsidR="00AE7A56">
        <w:rPr>
          <w:rFonts w:ascii="Tahoma" w:eastAsia="Calibri" w:hAnsi="Tahoma" w:cs="Tahoma"/>
          <w:sz w:val="24"/>
          <w:szCs w:val="24"/>
        </w:rPr>
        <w:t>. Sankce</w:t>
      </w:r>
      <w:r w:rsidRPr="00414E90">
        <w:rPr>
          <w:rFonts w:ascii="Tahoma" w:eastAsia="Calibri" w:hAnsi="Tahoma" w:cs="Tahoma"/>
          <w:sz w:val="24"/>
          <w:szCs w:val="24"/>
        </w:rPr>
        <w:t xml:space="preserve"> s</w:t>
      </w:r>
      <w:r w:rsidR="00AE7A56">
        <w:rPr>
          <w:rFonts w:ascii="Tahoma" w:eastAsia="Calibri" w:hAnsi="Tahoma" w:cs="Tahoma"/>
          <w:sz w:val="24"/>
          <w:szCs w:val="24"/>
        </w:rPr>
        <w:t>počívají v</w:t>
      </w:r>
      <w:r w:rsidRPr="00414E90">
        <w:rPr>
          <w:rFonts w:ascii="Tahoma" w:eastAsia="Calibri" w:hAnsi="Tahoma" w:cs="Tahoma"/>
          <w:sz w:val="24"/>
          <w:szCs w:val="24"/>
        </w:rPr>
        <w:t>:</w:t>
      </w:r>
    </w:p>
    <w:p w14:paraId="5D6A5C99"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omezení přístupu ruských bank a společností na primární a sekundární kapitálové trhy EU,</w:t>
      </w:r>
    </w:p>
    <w:p w14:paraId="546F4301"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zákazu vývozu a dovozu zbraní,</w:t>
      </w:r>
    </w:p>
    <w:p w14:paraId="4B6A6D02"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zákazu vývozu zboží dvojího užití pro vojenské uživatele v Rusku,</w:t>
      </w:r>
    </w:p>
    <w:p w14:paraId="4CE4B1EE" w14:textId="3E43E9B3" w:rsid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omezení přístupu Ruska k některým citlivým technologiím a službám (těžba ropy, průzkum)</w:t>
      </w:r>
      <w:r w:rsidR="00AE7A56">
        <w:rPr>
          <w:rFonts w:ascii="Tahoma" w:eastAsia="Calibri" w:hAnsi="Tahoma" w:cs="Tahoma"/>
          <w:sz w:val="24"/>
          <w:szCs w:val="24"/>
        </w:rPr>
        <w:t>.</w:t>
      </w:r>
    </w:p>
    <w:p w14:paraId="4E696041" w14:textId="77777777" w:rsidR="007F0595" w:rsidRPr="00414E90" w:rsidRDefault="007F0595" w:rsidP="00A34256">
      <w:pPr>
        <w:spacing w:after="0"/>
        <w:jc w:val="both"/>
        <w:rPr>
          <w:rFonts w:ascii="Tahoma" w:eastAsia="Calibri" w:hAnsi="Tahoma" w:cs="Tahoma"/>
          <w:sz w:val="24"/>
          <w:szCs w:val="24"/>
        </w:rPr>
      </w:pPr>
    </w:p>
    <w:p w14:paraId="7C8AC6E2" w14:textId="3B9E6A7E" w:rsid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 xml:space="preserve">Zákazy vývozu tvrdě postihly evropské vývozce obráběcích strojů a možná nenávratně poškodily dlouhodobé vztahy mezi evropskými dodavateli a zákazníky v Rusku, kteří dříve pro CECIMO představovaly třetí největší vývozní trh mimo Evropu. </w:t>
      </w:r>
    </w:p>
    <w:p w14:paraId="47682530" w14:textId="77777777" w:rsidR="007F0595" w:rsidRPr="00414E90" w:rsidRDefault="007F0595" w:rsidP="00A34256">
      <w:pPr>
        <w:spacing w:after="0"/>
        <w:jc w:val="both"/>
        <w:rPr>
          <w:rFonts w:ascii="Tahoma" w:eastAsia="Calibri" w:hAnsi="Tahoma" w:cs="Tahoma"/>
          <w:b/>
          <w:bCs/>
          <w:sz w:val="24"/>
          <w:szCs w:val="24"/>
        </w:rPr>
      </w:pPr>
    </w:p>
    <w:p w14:paraId="72FCBA9E" w14:textId="35E7F84E"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sz w:val="24"/>
          <w:szCs w:val="24"/>
        </w:rPr>
        <w:lastRenderedPageBreak/>
        <w:t>Po zasedání valného shromáždění v Bordeaux v červenci 2015 CECIMO informovalo politik</w:t>
      </w:r>
      <w:r w:rsidR="00AE7A56">
        <w:rPr>
          <w:rFonts w:ascii="Tahoma" w:eastAsia="Calibri" w:hAnsi="Tahoma" w:cs="Tahoma"/>
          <w:sz w:val="24"/>
          <w:szCs w:val="24"/>
        </w:rPr>
        <w:t>y</w:t>
      </w:r>
      <w:r w:rsidRPr="00414E90">
        <w:rPr>
          <w:rFonts w:ascii="Tahoma" w:eastAsia="Calibri" w:hAnsi="Tahoma" w:cs="Tahoma"/>
          <w:sz w:val="24"/>
          <w:szCs w:val="24"/>
        </w:rPr>
        <w:t xml:space="preserve"> EU o významných dopadech těchto sankcí na odvětví MT a celoevropské obchodní vztahy s Ruskem. </w:t>
      </w:r>
      <w:r w:rsidRPr="00414E90">
        <w:rPr>
          <w:rFonts w:ascii="Tahoma" w:eastAsia="Calibri" w:hAnsi="Tahoma" w:cs="Tahoma"/>
          <w:b/>
          <w:bCs/>
          <w:sz w:val="24"/>
          <w:szCs w:val="24"/>
        </w:rPr>
        <w:t>V roce 2017 se vývoz MT zemí CECIMO do Ruska propadl o 49 %.</w:t>
      </w:r>
    </w:p>
    <w:p w14:paraId="64903C9A" w14:textId="77777777" w:rsidR="00414E90" w:rsidRPr="00414E90" w:rsidRDefault="00414E90" w:rsidP="00A34256">
      <w:pPr>
        <w:spacing w:after="0"/>
        <w:jc w:val="both"/>
        <w:rPr>
          <w:rFonts w:ascii="Tahoma" w:eastAsia="Calibri" w:hAnsi="Tahoma" w:cs="Tahoma"/>
          <w:sz w:val="24"/>
          <w:szCs w:val="24"/>
        </w:rPr>
      </w:pPr>
    </w:p>
    <w:p w14:paraId="0C71CDDE"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noProof/>
          <w:sz w:val="24"/>
          <w:szCs w:val="24"/>
        </w:rPr>
        <w:drawing>
          <wp:inline distT="0" distB="0" distL="0" distR="0" wp14:anchorId="08F62AAB" wp14:editId="66CF94B2">
            <wp:extent cx="5760720" cy="209042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090420"/>
                    </a:xfrm>
                    <a:prstGeom prst="rect">
                      <a:avLst/>
                    </a:prstGeom>
                    <a:noFill/>
                    <a:ln>
                      <a:noFill/>
                    </a:ln>
                  </pic:spPr>
                </pic:pic>
              </a:graphicData>
            </a:graphic>
          </wp:inline>
        </w:drawing>
      </w:r>
    </w:p>
    <w:p w14:paraId="0CF6AB64" w14:textId="77777777" w:rsidR="00414E90" w:rsidRPr="00414E90" w:rsidRDefault="00414E90" w:rsidP="00A34256">
      <w:pPr>
        <w:spacing w:after="0"/>
        <w:jc w:val="both"/>
        <w:rPr>
          <w:rFonts w:ascii="Tahoma" w:eastAsia="Calibri" w:hAnsi="Tahoma" w:cs="Tahoma"/>
          <w:sz w:val="24"/>
          <w:szCs w:val="24"/>
        </w:rPr>
      </w:pPr>
    </w:p>
    <w:p w14:paraId="6E19DADD"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Proto zaujalo CECIMO v té době tvrdý postoj proti těmto sankcím, protože v konečném důsledku vedly ke ztrátám evropských výrobců obráběcích strojů na ruském trhu. Nicméně od té doby Rada Evropské unie sankce pravidelně obnovovala. V lednu 2022 byly hospodářské sankce obnoveny na další rok, tedy do 31. července 2022. Více informací o těchto opatřeních naleznete zde:</w:t>
      </w:r>
    </w:p>
    <w:p w14:paraId="70EE51AF" w14:textId="01676BDF" w:rsidR="00414E90" w:rsidRDefault="00414E90" w:rsidP="00A34256">
      <w:pPr>
        <w:spacing w:after="0"/>
        <w:jc w:val="both"/>
        <w:rPr>
          <w:rFonts w:ascii="Tahoma" w:eastAsia="Calibri" w:hAnsi="Tahoma" w:cs="Tahoma"/>
          <w:i/>
          <w:iCs/>
          <w:sz w:val="24"/>
          <w:szCs w:val="24"/>
        </w:rPr>
      </w:pPr>
      <w:r w:rsidRPr="00414E90">
        <w:rPr>
          <w:rFonts w:ascii="Tahoma" w:eastAsia="Calibri" w:hAnsi="Tahoma" w:cs="Tahoma"/>
          <w:i/>
          <w:iCs/>
          <w:sz w:val="24"/>
          <w:szCs w:val="24"/>
        </w:rPr>
        <w:t>Russia Specification Restrictive measures in view of Russia's actions destabilising the situation in Ukraine (sectoral restrictive measures) Adopted by EU Expiry date 31.07.2022</w:t>
      </w:r>
    </w:p>
    <w:p w14:paraId="77A1FDC9" w14:textId="77777777" w:rsidR="007F0595" w:rsidRPr="00414E90" w:rsidRDefault="007F0595" w:rsidP="00A34256">
      <w:pPr>
        <w:spacing w:after="0"/>
        <w:jc w:val="both"/>
        <w:rPr>
          <w:rFonts w:ascii="Tahoma" w:eastAsia="Calibri" w:hAnsi="Tahoma" w:cs="Tahoma"/>
          <w:i/>
          <w:iCs/>
          <w:sz w:val="24"/>
          <w:szCs w:val="24"/>
        </w:rPr>
      </w:pPr>
    </w:p>
    <w:p w14:paraId="01C09B18" w14:textId="1C91F591" w:rsid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xml:space="preserve">Během </w:t>
      </w:r>
      <w:r w:rsidR="00AE7A56">
        <w:rPr>
          <w:rFonts w:ascii="Tahoma" w:eastAsia="Calibri" w:hAnsi="Tahoma" w:cs="Tahoma"/>
          <w:sz w:val="24"/>
          <w:szCs w:val="24"/>
        </w:rPr>
        <w:t xml:space="preserve">celého </w:t>
      </w:r>
      <w:r w:rsidRPr="00414E90">
        <w:rPr>
          <w:rFonts w:ascii="Tahoma" w:eastAsia="Calibri" w:hAnsi="Tahoma" w:cs="Tahoma"/>
          <w:sz w:val="24"/>
          <w:szCs w:val="24"/>
        </w:rPr>
        <w:t xml:space="preserve">tohoto období přišli evropští výrobci o významnou část ruského trhu. Pokud se podíváme na data, </w:t>
      </w:r>
      <w:r w:rsidR="00AE7A56">
        <w:rPr>
          <w:rFonts w:ascii="Tahoma" w:eastAsia="Calibri" w:hAnsi="Tahoma" w:cs="Tahoma"/>
          <w:sz w:val="24"/>
          <w:szCs w:val="24"/>
        </w:rPr>
        <w:t xml:space="preserve">patří </w:t>
      </w:r>
      <w:r w:rsidRPr="00414E90">
        <w:rPr>
          <w:rFonts w:ascii="Tahoma" w:eastAsia="Calibri" w:hAnsi="Tahoma" w:cs="Tahoma"/>
          <w:sz w:val="24"/>
          <w:szCs w:val="24"/>
        </w:rPr>
        <w:t xml:space="preserve">Rusko </w:t>
      </w:r>
      <w:r w:rsidR="00AE7A56">
        <w:rPr>
          <w:rFonts w:ascii="Tahoma" w:eastAsia="Calibri" w:hAnsi="Tahoma" w:cs="Tahoma"/>
          <w:sz w:val="24"/>
          <w:szCs w:val="24"/>
        </w:rPr>
        <w:t xml:space="preserve">i </w:t>
      </w:r>
      <w:r w:rsidRPr="00414E90">
        <w:rPr>
          <w:rFonts w:ascii="Tahoma" w:eastAsia="Calibri" w:hAnsi="Tahoma" w:cs="Tahoma"/>
          <w:sz w:val="24"/>
          <w:szCs w:val="24"/>
        </w:rPr>
        <w:t>nadále mezi pět nejvýznamnějších vývozních destinací, přičemž v roce 2020 se jeho podíl pohyboval kolem 3,45 % ve srovnání s 5,85 % v roce 2013.</w:t>
      </w:r>
    </w:p>
    <w:p w14:paraId="2686901F" w14:textId="77777777" w:rsidR="007F0595" w:rsidRPr="00414E90" w:rsidRDefault="007F0595" w:rsidP="00A34256">
      <w:pPr>
        <w:spacing w:after="0"/>
        <w:jc w:val="both"/>
        <w:rPr>
          <w:rFonts w:ascii="Tahoma" w:eastAsia="Calibri" w:hAnsi="Tahoma" w:cs="Tahoma"/>
          <w:sz w:val="24"/>
          <w:szCs w:val="24"/>
        </w:rPr>
      </w:pPr>
    </w:p>
    <w:p w14:paraId="550A8637" w14:textId="23DE7727" w:rsid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Srovnání údajů o hlavních trzích dodávajících MT do Ruska ukazuje, že Rusko nyní dováží méně ze zemí hlavních výrobců CECIMO, jako je Německo a Itálie, a více z Číny. Následující graf ukazuje rozdíl mezi souhrnnými údaji za roky 2019-20 a roky před sankcemi v letech 2014-15.</w:t>
      </w:r>
    </w:p>
    <w:p w14:paraId="288DD1E2" w14:textId="77777777" w:rsidR="007F0595" w:rsidRPr="00414E90" w:rsidRDefault="007F0595" w:rsidP="00A34256">
      <w:pPr>
        <w:spacing w:after="0"/>
        <w:jc w:val="both"/>
        <w:rPr>
          <w:rFonts w:ascii="Tahoma" w:eastAsia="Calibri" w:hAnsi="Tahoma" w:cs="Tahoma"/>
          <w:sz w:val="24"/>
          <w:szCs w:val="24"/>
        </w:rPr>
      </w:pPr>
    </w:p>
    <w:p w14:paraId="170696C0" w14:textId="77777777" w:rsidR="00414E90" w:rsidRPr="00414E90" w:rsidRDefault="00414E90" w:rsidP="00A34256">
      <w:pPr>
        <w:spacing w:after="0"/>
        <w:jc w:val="center"/>
        <w:rPr>
          <w:rFonts w:ascii="Tahoma" w:eastAsia="Calibri" w:hAnsi="Tahoma" w:cs="Tahoma"/>
          <w:sz w:val="24"/>
          <w:szCs w:val="24"/>
        </w:rPr>
      </w:pPr>
      <w:r w:rsidRPr="00414E90">
        <w:rPr>
          <w:rFonts w:ascii="Tahoma" w:eastAsia="Calibri" w:hAnsi="Tahoma" w:cs="Tahoma"/>
          <w:b/>
          <w:bCs/>
          <w:sz w:val="24"/>
          <w:szCs w:val="24"/>
        </w:rPr>
        <w:t>Ruský dovoz MT v milionech eur:</w:t>
      </w:r>
    </w:p>
    <w:tbl>
      <w:tblPr>
        <w:tblStyle w:val="Mkatabulky1"/>
        <w:tblW w:w="0" w:type="auto"/>
        <w:tblLook w:val="04A0" w:firstRow="1" w:lastRow="0" w:firstColumn="1" w:lastColumn="0" w:noHBand="0" w:noVBand="1"/>
      </w:tblPr>
      <w:tblGrid>
        <w:gridCol w:w="2265"/>
        <w:gridCol w:w="2265"/>
        <w:gridCol w:w="2266"/>
        <w:gridCol w:w="2266"/>
      </w:tblGrid>
      <w:tr w:rsidR="00414E90" w:rsidRPr="00414E90" w14:paraId="4ABD527C" w14:textId="77777777" w:rsidTr="009D43A0">
        <w:tc>
          <w:tcPr>
            <w:tcW w:w="2265" w:type="dxa"/>
          </w:tcPr>
          <w:p w14:paraId="72D21319" w14:textId="77777777" w:rsidR="00414E90" w:rsidRPr="00414E90" w:rsidRDefault="00414E90" w:rsidP="00A34256">
            <w:pPr>
              <w:spacing w:line="276" w:lineRule="auto"/>
              <w:jc w:val="both"/>
              <w:rPr>
                <w:rFonts w:ascii="Tahoma" w:eastAsia="Calibri" w:hAnsi="Tahoma" w:cs="Tahoma"/>
                <w:b/>
                <w:bCs/>
                <w:sz w:val="24"/>
                <w:szCs w:val="24"/>
              </w:rPr>
            </w:pPr>
            <w:r w:rsidRPr="00414E90">
              <w:rPr>
                <w:rFonts w:ascii="Tahoma" w:eastAsia="Calibri" w:hAnsi="Tahoma" w:cs="Tahoma"/>
                <w:b/>
                <w:bCs/>
                <w:sz w:val="24"/>
                <w:szCs w:val="24"/>
              </w:rPr>
              <w:t>REGION</w:t>
            </w:r>
          </w:p>
        </w:tc>
        <w:tc>
          <w:tcPr>
            <w:tcW w:w="2265" w:type="dxa"/>
          </w:tcPr>
          <w:p w14:paraId="00338DA3" w14:textId="77777777" w:rsidR="00414E90" w:rsidRPr="00414E90" w:rsidRDefault="00414E90" w:rsidP="00A34256">
            <w:pPr>
              <w:spacing w:line="276" w:lineRule="auto"/>
              <w:jc w:val="both"/>
              <w:rPr>
                <w:rFonts w:ascii="Tahoma" w:eastAsia="Calibri" w:hAnsi="Tahoma" w:cs="Tahoma"/>
                <w:b/>
                <w:bCs/>
                <w:sz w:val="24"/>
                <w:szCs w:val="24"/>
              </w:rPr>
            </w:pPr>
            <w:r w:rsidRPr="00414E90">
              <w:rPr>
                <w:rFonts w:ascii="Tahoma" w:eastAsia="Calibri" w:hAnsi="Tahoma" w:cs="Tahoma"/>
                <w:b/>
                <w:bCs/>
                <w:sz w:val="24"/>
                <w:szCs w:val="24"/>
              </w:rPr>
              <w:t>2014+2015</w:t>
            </w:r>
          </w:p>
        </w:tc>
        <w:tc>
          <w:tcPr>
            <w:tcW w:w="2266" w:type="dxa"/>
          </w:tcPr>
          <w:p w14:paraId="54CD5AE3" w14:textId="77777777" w:rsidR="00414E90" w:rsidRPr="00414E90" w:rsidRDefault="00414E90" w:rsidP="00A34256">
            <w:pPr>
              <w:spacing w:line="276" w:lineRule="auto"/>
              <w:jc w:val="both"/>
              <w:rPr>
                <w:rFonts w:ascii="Tahoma" w:eastAsia="Calibri" w:hAnsi="Tahoma" w:cs="Tahoma"/>
                <w:b/>
                <w:bCs/>
                <w:sz w:val="24"/>
                <w:szCs w:val="24"/>
              </w:rPr>
            </w:pPr>
            <w:r w:rsidRPr="00414E90">
              <w:rPr>
                <w:rFonts w:ascii="Tahoma" w:eastAsia="Calibri" w:hAnsi="Tahoma" w:cs="Tahoma"/>
                <w:b/>
                <w:bCs/>
                <w:sz w:val="24"/>
                <w:szCs w:val="24"/>
              </w:rPr>
              <w:t>2019+2020</w:t>
            </w:r>
          </w:p>
        </w:tc>
        <w:tc>
          <w:tcPr>
            <w:tcW w:w="2266" w:type="dxa"/>
          </w:tcPr>
          <w:p w14:paraId="6524AAE7" w14:textId="77777777" w:rsidR="00414E90" w:rsidRPr="00414E90" w:rsidRDefault="00414E90" w:rsidP="00A34256">
            <w:pPr>
              <w:spacing w:line="276" w:lineRule="auto"/>
              <w:jc w:val="both"/>
              <w:rPr>
                <w:rFonts w:ascii="Tahoma" w:eastAsia="Calibri" w:hAnsi="Tahoma" w:cs="Tahoma"/>
                <w:b/>
                <w:bCs/>
                <w:sz w:val="24"/>
                <w:szCs w:val="24"/>
              </w:rPr>
            </w:pPr>
            <w:r w:rsidRPr="00414E90">
              <w:rPr>
                <w:rFonts w:ascii="Tahoma" w:eastAsia="Calibri" w:hAnsi="Tahoma" w:cs="Tahoma"/>
                <w:b/>
                <w:bCs/>
                <w:sz w:val="24"/>
                <w:szCs w:val="24"/>
              </w:rPr>
              <w:t>ROZDÍL</w:t>
            </w:r>
          </w:p>
        </w:tc>
      </w:tr>
      <w:tr w:rsidR="00414E90" w:rsidRPr="00414E90" w14:paraId="5CA324BB" w14:textId="77777777" w:rsidTr="009D43A0">
        <w:tc>
          <w:tcPr>
            <w:tcW w:w="2265" w:type="dxa"/>
          </w:tcPr>
          <w:p w14:paraId="5C122E78"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SVĚT</w:t>
            </w:r>
          </w:p>
        </w:tc>
        <w:tc>
          <w:tcPr>
            <w:tcW w:w="2265" w:type="dxa"/>
          </w:tcPr>
          <w:p w14:paraId="408DA01D"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2607</w:t>
            </w:r>
          </w:p>
        </w:tc>
        <w:tc>
          <w:tcPr>
            <w:tcW w:w="2266" w:type="dxa"/>
          </w:tcPr>
          <w:p w14:paraId="14444F4E"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2114</w:t>
            </w:r>
          </w:p>
        </w:tc>
        <w:tc>
          <w:tcPr>
            <w:tcW w:w="2266" w:type="dxa"/>
          </w:tcPr>
          <w:p w14:paraId="1BA323DA"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-19 %</w:t>
            </w:r>
          </w:p>
        </w:tc>
      </w:tr>
      <w:tr w:rsidR="00414E90" w:rsidRPr="00414E90" w14:paraId="0000B138" w14:textId="77777777" w:rsidTr="009D43A0">
        <w:tc>
          <w:tcPr>
            <w:tcW w:w="2265" w:type="dxa"/>
          </w:tcPr>
          <w:p w14:paraId="79C4FF29"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ČÍNA</w:t>
            </w:r>
          </w:p>
        </w:tc>
        <w:tc>
          <w:tcPr>
            <w:tcW w:w="2265" w:type="dxa"/>
          </w:tcPr>
          <w:p w14:paraId="157DB0F2"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210</w:t>
            </w:r>
          </w:p>
        </w:tc>
        <w:tc>
          <w:tcPr>
            <w:tcW w:w="2266" w:type="dxa"/>
          </w:tcPr>
          <w:p w14:paraId="11FA00DE"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401</w:t>
            </w:r>
          </w:p>
        </w:tc>
        <w:tc>
          <w:tcPr>
            <w:tcW w:w="2266" w:type="dxa"/>
          </w:tcPr>
          <w:p w14:paraId="3F000D08"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91 %</w:t>
            </w:r>
          </w:p>
        </w:tc>
      </w:tr>
      <w:tr w:rsidR="00414E90" w:rsidRPr="00414E90" w14:paraId="1B45CA59" w14:textId="77777777" w:rsidTr="009D43A0">
        <w:tc>
          <w:tcPr>
            <w:tcW w:w="2265" w:type="dxa"/>
          </w:tcPr>
          <w:p w14:paraId="359B657F"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NĚMECKO</w:t>
            </w:r>
          </w:p>
        </w:tc>
        <w:tc>
          <w:tcPr>
            <w:tcW w:w="2265" w:type="dxa"/>
          </w:tcPr>
          <w:p w14:paraId="25917CCD"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698</w:t>
            </w:r>
          </w:p>
        </w:tc>
        <w:tc>
          <w:tcPr>
            <w:tcW w:w="2266" w:type="dxa"/>
          </w:tcPr>
          <w:p w14:paraId="596D868F"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393</w:t>
            </w:r>
          </w:p>
        </w:tc>
        <w:tc>
          <w:tcPr>
            <w:tcW w:w="2266" w:type="dxa"/>
          </w:tcPr>
          <w:p w14:paraId="59CFFDBB"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-44 %</w:t>
            </w:r>
          </w:p>
        </w:tc>
      </w:tr>
      <w:tr w:rsidR="00414E90" w:rsidRPr="00414E90" w14:paraId="0962994B" w14:textId="77777777" w:rsidTr="009D43A0">
        <w:tc>
          <w:tcPr>
            <w:tcW w:w="2265" w:type="dxa"/>
          </w:tcPr>
          <w:p w14:paraId="5F7082E2"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ITÁLIE</w:t>
            </w:r>
          </w:p>
        </w:tc>
        <w:tc>
          <w:tcPr>
            <w:tcW w:w="2265" w:type="dxa"/>
          </w:tcPr>
          <w:p w14:paraId="7A5A0E09"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349</w:t>
            </w:r>
          </w:p>
        </w:tc>
        <w:tc>
          <w:tcPr>
            <w:tcW w:w="2266" w:type="dxa"/>
          </w:tcPr>
          <w:p w14:paraId="6BD96BB9"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264</w:t>
            </w:r>
          </w:p>
        </w:tc>
        <w:tc>
          <w:tcPr>
            <w:tcW w:w="2266" w:type="dxa"/>
          </w:tcPr>
          <w:p w14:paraId="0F068D2C"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-24%</w:t>
            </w:r>
          </w:p>
        </w:tc>
      </w:tr>
    </w:tbl>
    <w:p w14:paraId="269F9097" w14:textId="77777777" w:rsidR="00414E90" w:rsidRPr="00414E90" w:rsidRDefault="00414E90" w:rsidP="00A34256">
      <w:pPr>
        <w:spacing w:after="0"/>
        <w:jc w:val="both"/>
        <w:rPr>
          <w:rFonts w:ascii="Tahoma" w:eastAsia="Calibri" w:hAnsi="Tahoma" w:cs="Tahoma"/>
          <w:sz w:val="24"/>
          <w:szCs w:val="24"/>
        </w:rPr>
      </w:pPr>
    </w:p>
    <w:p w14:paraId="527AA920" w14:textId="1353C3F1" w:rsid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xml:space="preserve">Podle údajů ve výše uvedené tabulce </w:t>
      </w:r>
      <w:r w:rsidR="007F0595">
        <w:rPr>
          <w:rFonts w:ascii="Tahoma" w:eastAsia="Calibri" w:hAnsi="Tahoma" w:cs="Tahoma"/>
          <w:sz w:val="24"/>
          <w:szCs w:val="24"/>
        </w:rPr>
        <w:t xml:space="preserve">nahradila </w:t>
      </w:r>
      <w:r w:rsidRPr="00414E90">
        <w:rPr>
          <w:rFonts w:ascii="Tahoma" w:eastAsia="Calibri" w:hAnsi="Tahoma" w:cs="Tahoma"/>
          <w:sz w:val="24"/>
          <w:szCs w:val="24"/>
        </w:rPr>
        <w:t>Čína výrobce MT v EU a přispívá k naplnění ruské poptávky po MT. Další zajímavou skutečností, která vychází z našich databází, je, že Rusko výrazně zvýšilo svou vlastní výrobu MT. Po uvalení sankcí se podíl ruské výroby MT ve světě zvýšil z 0,2 % v roce 2013 a 0,5 % v roce 2014 na téměř 1 % v roce 2020.</w:t>
      </w:r>
    </w:p>
    <w:p w14:paraId="0F909D64" w14:textId="77777777" w:rsidR="007F0595" w:rsidRPr="00414E90" w:rsidRDefault="007F0595" w:rsidP="00A34256">
      <w:pPr>
        <w:spacing w:after="0"/>
        <w:jc w:val="both"/>
        <w:rPr>
          <w:rFonts w:ascii="Tahoma" w:eastAsia="Calibri" w:hAnsi="Tahoma" w:cs="Tahoma"/>
          <w:sz w:val="24"/>
          <w:szCs w:val="24"/>
        </w:rPr>
      </w:pPr>
    </w:p>
    <w:p w14:paraId="46B71A46" w14:textId="77777777" w:rsidR="00414E90" w:rsidRPr="00414E90" w:rsidRDefault="00414E90" w:rsidP="00A34256">
      <w:pPr>
        <w:spacing w:after="0"/>
        <w:jc w:val="both"/>
        <w:rPr>
          <w:rFonts w:ascii="Tahoma" w:eastAsia="Calibri" w:hAnsi="Tahoma" w:cs="Tahoma"/>
          <w:i/>
          <w:iCs/>
          <w:sz w:val="24"/>
          <w:szCs w:val="24"/>
        </w:rPr>
      </w:pPr>
      <w:r w:rsidRPr="00414E90">
        <w:rPr>
          <w:rFonts w:ascii="Tahoma" w:eastAsia="Calibri" w:hAnsi="Tahoma" w:cs="Tahoma"/>
          <w:i/>
          <w:iCs/>
          <w:sz w:val="24"/>
          <w:szCs w:val="24"/>
        </w:rPr>
        <w:t xml:space="preserve">Poznámka: Je možné, že některé evropské společnosti zřídily výrobní linky v Rusku, aby se vyhnuly sankcím. </w:t>
      </w:r>
    </w:p>
    <w:p w14:paraId="7977CD9D" w14:textId="0494FC85" w:rsid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Nárůst ruské výroby je patrný z následujícího grafu:</w:t>
      </w:r>
    </w:p>
    <w:p w14:paraId="62A82ACB" w14:textId="77777777" w:rsidR="00A34256" w:rsidRPr="00414E90" w:rsidRDefault="00A34256" w:rsidP="00A34256">
      <w:pPr>
        <w:spacing w:after="0"/>
        <w:jc w:val="both"/>
        <w:rPr>
          <w:rFonts w:ascii="Tahoma" w:eastAsia="Calibri" w:hAnsi="Tahoma" w:cs="Tahoma"/>
          <w:sz w:val="24"/>
          <w:szCs w:val="24"/>
        </w:rPr>
      </w:pPr>
    </w:p>
    <w:p w14:paraId="23E882B6" w14:textId="14261C9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noProof/>
          <w:sz w:val="24"/>
          <w:szCs w:val="24"/>
        </w:rPr>
        <w:drawing>
          <wp:inline distT="0" distB="0" distL="0" distR="0" wp14:anchorId="448861CE" wp14:editId="3F1D0051">
            <wp:extent cx="5760720" cy="2186305"/>
            <wp:effectExtent l="0" t="0" r="0"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186305"/>
                    </a:xfrm>
                    <a:prstGeom prst="rect">
                      <a:avLst/>
                    </a:prstGeom>
                    <a:noFill/>
                    <a:ln>
                      <a:noFill/>
                    </a:ln>
                  </pic:spPr>
                </pic:pic>
              </a:graphicData>
            </a:graphic>
          </wp:inline>
        </w:drawing>
      </w:r>
    </w:p>
    <w:p w14:paraId="29EB3DB6" w14:textId="77777777" w:rsidR="00414E90" w:rsidRPr="00414E90" w:rsidRDefault="00414E90" w:rsidP="00A34256">
      <w:pPr>
        <w:spacing w:after="0"/>
        <w:jc w:val="both"/>
        <w:rPr>
          <w:rFonts w:ascii="Tahoma" w:eastAsia="Calibri" w:hAnsi="Tahoma" w:cs="Tahoma"/>
          <w:sz w:val="24"/>
          <w:szCs w:val="24"/>
        </w:rPr>
      </w:pPr>
    </w:p>
    <w:p w14:paraId="40AB2E6F"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b/>
          <w:bCs/>
          <w:sz w:val="24"/>
          <w:szCs w:val="24"/>
        </w:rPr>
        <w:t>Pokud jde o odvětví strojírenství, sankce z roku 2014 obecně otevřely dveře konkurenci z Číny a dalších zemí, které sankce vůči Rusku neuplatnily</w:t>
      </w:r>
      <w:r w:rsidRPr="00414E90">
        <w:rPr>
          <w:rFonts w:ascii="Tahoma" w:eastAsia="Calibri" w:hAnsi="Tahoma" w:cs="Tahoma"/>
          <w:sz w:val="24"/>
          <w:szCs w:val="24"/>
        </w:rPr>
        <w:t>. To je patrné i na klesajícím počtu evropských výrobních společností působících v Rusku. Navzdory ztrátě ruských trhů se úroveň výroby CECIMO v letech 2014 až 2019 nadále zvyšovala. Kromě toho, celkový vývoz MT společností CECIMO nadále rostl po celém světě, což svědčí o technologické nadřazenosti a silné poptávce po produktech našich výrobců.</w:t>
      </w:r>
    </w:p>
    <w:p w14:paraId="02211E76" w14:textId="77777777" w:rsidR="00414E90" w:rsidRPr="00414E90" w:rsidRDefault="00414E90" w:rsidP="00A34256">
      <w:pPr>
        <w:spacing w:after="0"/>
        <w:jc w:val="both"/>
        <w:rPr>
          <w:rFonts w:ascii="Tahoma" w:eastAsia="Calibri" w:hAnsi="Tahoma" w:cs="Tahoma"/>
          <w:sz w:val="24"/>
          <w:szCs w:val="24"/>
        </w:rPr>
      </w:pPr>
    </w:p>
    <w:p w14:paraId="4B9A48F1"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noProof/>
          <w:sz w:val="24"/>
          <w:szCs w:val="24"/>
        </w:rPr>
        <w:drawing>
          <wp:inline distT="0" distB="0" distL="0" distR="0" wp14:anchorId="56A1ED27" wp14:editId="1D13E72F">
            <wp:extent cx="5760720" cy="2393950"/>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393950"/>
                    </a:xfrm>
                    <a:prstGeom prst="rect">
                      <a:avLst/>
                    </a:prstGeom>
                    <a:noFill/>
                    <a:ln>
                      <a:noFill/>
                    </a:ln>
                  </pic:spPr>
                </pic:pic>
              </a:graphicData>
            </a:graphic>
          </wp:inline>
        </w:drawing>
      </w:r>
    </w:p>
    <w:p w14:paraId="3D3BB819"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lastRenderedPageBreak/>
        <w:t xml:space="preserve">Aktuální vývoj </w:t>
      </w:r>
    </w:p>
    <w:p w14:paraId="37125F3D" w14:textId="046B3441" w:rsid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Poté, co Rusko zahájilo rozsáhlou invazi na Ukrajinu, roste tlak na západní spojence, aby uvalili na Moskvu tvrdší sankce. Dne 23. února 2022 přijala EU první balíček sankcí poté, co Rusko uznalo Doněck a Lugansk. První balíček zahrnuje následující opatření:</w:t>
      </w:r>
    </w:p>
    <w:p w14:paraId="1FC05CF5" w14:textId="77777777" w:rsidR="005C31B1" w:rsidRPr="00414E90" w:rsidRDefault="005C31B1" w:rsidP="00A34256">
      <w:pPr>
        <w:spacing w:after="0"/>
        <w:jc w:val="both"/>
        <w:rPr>
          <w:rFonts w:ascii="Tahoma" w:eastAsia="Calibri" w:hAnsi="Tahoma" w:cs="Tahoma"/>
          <w:sz w:val="24"/>
          <w:szCs w:val="24"/>
        </w:rPr>
      </w:pPr>
    </w:p>
    <w:p w14:paraId="56DC7DED"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sankce proti 351 poslancům ruské Státní dumy (dolní komory parlamentu);</w:t>
      </w:r>
    </w:p>
    <w:p w14:paraId="63D7D3F9"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sankce proti dalším 27 fyzickým a právnickým osobám, které přispěly k podkopávání nebo ohrožování územní celistvosti, svrchovanosti a nezávislosti Ukrajiny;</w:t>
      </w:r>
    </w:p>
    <w:p w14:paraId="69EBE05B"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omezení hospodářských vztahů s nevládními oblastmi Doněcké a Luganské oblasti;</w:t>
      </w:r>
    </w:p>
    <w:p w14:paraId="190AE84A"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omezení přístupu ruského státu a vlády ke kapitálovým a finančním trhům a službám EU.</w:t>
      </w:r>
    </w:p>
    <w:p w14:paraId="527E2191" w14:textId="77777777" w:rsidR="00414E90" w:rsidRPr="00414E90" w:rsidRDefault="00414E90" w:rsidP="00A34256">
      <w:pPr>
        <w:spacing w:after="0"/>
        <w:jc w:val="both"/>
        <w:rPr>
          <w:rFonts w:ascii="Tahoma" w:eastAsia="Calibri" w:hAnsi="Tahoma" w:cs="Tahoma"/>
          <w:sz w:val="24"/>
          <w:szCs w:val="24"/>
        </w:rPr>
      </w:pPr>
    </w:p>
    <w:p w14:paraId="4BDAAAD7"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Vedoucí představitelé EU se sešli na mimořádném summitu a uspořádali několik jednání v návaznosti na ruskou agresi proti Ukrajině. Dohodli se na nových sankcích vůči Rusku, které se týkají konkrétních oblastí:</w:t>
      </w:r>
    </w:p>
    <w:p w14:paraId="1ED8DAEA" w14:textId="77777777" w:rsidR="00414E90" w:rsidRPr="00414E90" w:rsidRDefault="00414E90" w:rsidP="00A34256">
      <w:pPr>
        <w:spacing w:after="0"/>
        <w:jc w:val="both"/>
        <w:rPr>
          <w:rFonts w:ascii="Tahoma" w:eastAsia="Calibri" w:hAnsi="Tahoma" w:cs="Tahoma"/>
          <w:sz w:val="24"/>
          <w:szCs w:val="24"/>
        </w:rPr>
      </w:pPr>
    </w:p>
    <w:p w14:paraId="00531090"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Seznamy jednotlivých osob a subjektů</w:t>
      </w:r>
    </w:p>
    <w:tbl>
      <w:tblPr>
        <w:tblStyle w:val="Mkatabulky1"/>
        <w:tblW w:w="9464" w:type="dxa"/>
        <w:tblLook w:val="04A0" w:firstRow="1" w:lastRow="0" w:firstColumn="1" w:lastColumn="0" w:noHBand="0" w:noVBand="1"/>
      </w:tblPr>
      <w:tblGrid>
        <w:gridCol w:w="4786"/>
        <w:gridCol w:w="4678"/>
      </w:tblGrid>
      <w:tr w:rsidR="00414E90" w:rsidRPr="00414E90" w14:paraId="1FB5F9CC" w14:textId="77777777" w:rsidTr="009D43A0">
        <w:tc>
          <w:tcPr>
            <w:tcW w:w="4786" w:type="dxa"/>
          </w:tcPr>
          <w:p w14:paraId="0DAF17B7" w14:textId="77777777" w:rsidR="00414E90" w:rsidRPr="00414E90" w:rsidRDefault="00414E90" w:rsidP="00A34256">
            <w:pPr>
              <w:spacing w:line="276" w:lineRule="auto"/>
              <w:jc w:val="both"/>
              <w:rPr>
                <w:rFonts w:ascii="Tahoma" w:eastAsia="Calibri" w:hAnsi="Tahoma" w:cs="Tahoma"/>
                <w:b/>
                <w:bCs/>
                <w:sz w:val="24"/>
                <w:szCs w:val="24"/>
              </w:rPr>
            </w:pPr>
            <w:r w:rsidRPr="00414E90">
              <w:rPr>
                <w:rFonts w:ascii="Tahoma" w:eastAsia="Calibri" w:hAnsi="Tahoma" w:cs="Tahoma"/>
                <w:b/>
                <w:bCs/>
                <w:sz w:val="24"/>
                <w:szCs w:val="24"/>
              </w:rPr>
              <w:t>Lidé:</w:t>
            </w:r>
          </w:p>
          <w:p w14:paraId="112D9230" w14:textId="77777777" w:rsidR="00414E90" w:rsidRPr="00414E90" w:rsidRDefault="00414E90" w:rsidP="00A34256">
            <w:pPr>
              <w:spacing w:line="276" w:lineRule="auto"/>
              <w:jc w:val="both"/>
              <w:rPr>
                <w:rFonts w:ascii="Tahoma" w:eastAsia="Calibri" w:hAnsi="Tahoma" w:cs="Tahoma"/>
                <w:b/>
                <w:bCs/>
                <w:sz w:val="24"/>
                <w:szCs w:val="24"/>
              </w:rPr>
            </w:pPr>
          </w:p>
        </w:tc>
        <w:tc>
          <w:tcPr>
            <w:tcW w:w="4678" w:type="dxa"/>
          </w:tcPr>
          <w:p w14:paraId="1C4E00F4" w14:textId="77777777" w:rsidR="00414E90" w:rsidRPr="00414E90" w:rsidRDefault="00414E90" w:rsidP="00A34256">
            <w:pPr>
              <w:spacing w:line="276" w:lineRule="auto"/>
              <w:jc w:val="both"/>
              <w:rPr>
                <w:rFonts w:ascii="Tahoma" w:eastAsia="Calibri" w:hAnsi="Tahoma" w:cs="Tahoma"/>
                <w:b/>
                <w:bCs/>
                <w:sz w:val="24"/>
                <w:szCs w:val="24"/>
              </w:rPr>
            </w:pPr>
            <w:r w:rsidRPr="00414E90">
              <w:rPr>
                <w:rFonts w:ascii="Tahoma" w:eastAsia="Calibri" w:hAnsi="Tahoma" w:cs="Tahoma"/>
                <w:b/>
                <w:bCs/>
                <w:sz w:val="24"/>
                <w:szCs w:val="24"/>
              </w:rPr>
              <w:t>Subjekty:</w:t>
            </w:r>
          </w:p>
          <w:p w14:paraId="7787618B" w14:textId="77777777" w:rsidR="00414E90" w:rsidRPr="00414E90" w:rsidRDefault="00414E90" w:rsidP="00A34256">
            <w:pPr>
              <w:spacing w:line="276" w:lineRule="auto"/>
              <w:jc w:val="both"/>
              <w:rPr>
                <w:rFonts w:ascii="Tahoma" w:eastAsia="Calibri" w:hAnsi="Tahoma" w:cs="Tahoma"/>
                <w:b/>
                <w:bCs/>
                <w:sz w:val="24"/>
                <w:szCs w:val="24"/>
              </w:rPr>
            </w:pPr>
          </w:p>
        </w:tc>
      </w:tr>
      <w:tr w:rsidR="00414E90" w:rsidRPr="00414E90" w14:paraId="2299B3D3" w14:textId="77777777" w:rsidTr="009D43A0">
        <w:tc>
          <w:tcPr>
            <w:tcW w:w="4786" w:type="dxa"/>
          </w:tcPr>
          <w:p w14:paraId="233CDAF5"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 xml:space="preserve">Zákaz cestování </w:t>
            </w:r>
          </w:p>
          <w:p w14:paraId="70A8A64B" w14:textId="77777777" w:rsidR="00414E90" w:rsidRPr="00414E90" w:rsidRDefault="00414E90" w:rsidP="00A34256">
            <w:pPr>
              <w:numPr>
                <w:ilvl w:val="0"/>
                <w:numId w:val="38"/>
              </w:numPr>
              <w:spacing w:line="276" w:lineRule="auto"/>
              <w:jc w:val="both"/>
              <w:rPr>
                <w:rFonts w:ascii="Tahoma" w:eastAsia="Calibri" w:hAnsi="Tahoma" w:cs="Tahoma"/>
                <w:b/>
                <w:bCs/>
                <w:sz w:val="24"/>
                <w:szCs w:val="24"/>
              </w:rPr>
            </w:pPr>
            <w:r w:rsidRPr="00414E90">
              <w:rPr>
                <w:rFonts w:ascii="Tahoma" w:eastAsia="Calibri" w:hAnsi="Tahoma" w:cs="Tahoma"/>
                <w:sz w:val="24"/>
                <w:szCs w:val="24"/>
              </w:rPr>
              <w:t>Zmrazení majetku</w:t>
            </w:r>
          </w:p>
          <w:p w14:paraId="11007B6B" w14:textId="77777777" w:rsidR="00414E90" w:rsidRPr="00414E90" w:rsidRDefault="00414E90" w:rsidP="00A34256">
            <w:pPr>
              <w:numPr>
                <w:ilvl w:val="0"/>
                <w:numId w:val="38"/>
              </w:numPr>
              <w:spacing w:line="276" w:lineRule="auto"/>
              <w:jc w:val="both"/>
              <w:rPr>
                <w:rFonts w:ascii="Tahoma" w:eastAsia="Calibri" w:hAnsi="Tahoma" w:cs="Tahoma"/>
                <w:b/>
                <w:bCs/>
                <w:sz w:val="24"/>
                <w:szCs w:val="24"/>
              </w:rPr>
            </w:pPr>
            <w:r w:rsidRPr="00414E90">
              <w:rPr>
                <w:rFonts w:ascii="Tahoma" w:eastAsia="Calibri" w:hAnsi="Tahoma" w:cs="Tahoma"/>
                <w:sz w:val="24"/>
                <w:szCs w:val="24"/>
              </w:rPr>
              <w:t>Zákaz poskytování finančních prostředků</w:t>
            </w:r>
          </w:p>
        </w:tc>
        <w:tc>
          <w:tcPr>
            <w:tcW w:w="4678" w:type="dxa"/>
          </w:tcPr>
          <w:p w14:paraId="5A8B6833"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Uvolnění aktiv</w:t>
            </w:r>
          </w:p>
          <w:p w14:paraId="31294C70"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Zákaz poskytování finančních prostředků</w:t>
            </w:r>
          </w:p>
          <w:p w14:paraId="18662B59" w14:textId="77777777" w:rsidR="00414E90" w:rsidRPr="00414E90" w:rsidRDefault="00414E90" w:rsidP="00A34256">
            <w:pPr>
              <w:spacing w:line="276" w:lineRule="auto"/>
              <w:ind w:left="360"/>
              <w:jc w:val="both"/>
              <w:rPr>
                <w:rFonts w:ascii="Tahoma" w:eastAsia="Calibri" w:hAnsi="Tahoma" w:cs="Tahoma"/>
                <w:b/>
                <w:bCs/>
                <w:sz w:val="24"/>
                <w:szCs w:val="24"/>
              </w:rPr>
            </w:pPr>
          </w:p>
        </w:tc>
      </w:tr>
    </w:tbl>
    <w:p w14:paraId="7D946BDB" w14:textId="77777777" w:rsidR="00414E90" w:rsidRPr="00414E90" w:rsidRDefault="00414E90" w:rsidP="00A34256">
      <w:pPr>
        <w:spacing w:after="0"/>
        <w:jc w:val="both"/>
        <w:rPr>
          <w:rFonts w:ascii="Tahoma" w:eastAsia="Calibri" w:hAnsi="Tahoma" w:cs="Tahoma"/>
          <w:b/>
          <w:bCs/>
          <w:sz w:val="24"/>
          <w:szCs w:val="24"/>
        </w:rPr>
      </w:pPr>
    </w:p>
    <w:p w14:paraId="41FAB854" w14:textId="77777777" w:rsidR="00414E90" w:rsidRPr="00414E90" w:rsidRDefault="00414E90" w:rsidP="00A34256">
      <w:pPr>
        <w:spacing w:after="0"/>
        <w:ind w:left="720"/>
        <w:contextualSpacing/>
        <w:jc w:val="both"/>
        <w:rPr>
          <w:rFonts w:ascii="Tahoma" w:eastAsia="Calibri" w:hAnsi="Tahoma" w:cs="Tahoma"/>
          <w:b/>
          <w:bCs/>
          <w:sz w:val="24"/>
          <w:szCs w:val="24"/>
        </w:rPr>
      </w:pPr>
      <w:r w:rsidRPr="00414E90">
        <w:rPr>
          <w:rFonts w:ascii="Tahoma" w:eastAsia="Calibri" w:hAnsi="Tahoma" w:cs="Tahoma"/>
          <w:b/>
          <w:bCs/>
          <w:sz w:val="24"/>
          <w:szCs w:val="24"/>
        </w:rPr>
        <w:t>Sankce ve finančním sektoru</w:t>
      </w:r>
    </w:p>
    <w:tbl>
      <w:tblPr>
        <w:tblStyle w:val="Mkatabulky1"/>
        <w:tblW w:w="0" w:type="auto"/>
        <w:tblInd w:w="359" w:type="dxa"/>
        <w:tblLook w:val="04A0" w:firstRow="1" w:lastRow="0" w:firstColumn="1" w:lastColumn="0" w:noHBand="0" w:noVBand="1"/>
      </w:tblPr>
      <w:tblGrid>
        <w:gridCol w:w="8680"/>
      </w:tblGrid>
      <w:tr w:rsidR="00414E90" w:rsidRPr="00414E90" w14:paraId="44233315" w14:textId="77777777" w:rsidTr="009D43A0">
        <w:tc>
          <w:tcPr>
            <w:tcW w:w="8680" w:type="dxa"/>
          </w:tcPr>
          <w:p w14:paraId="4A7E4D73"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zákaz jakýchkoli forem půjčování a nákupu cenných papírů ruskými bankami a vládou (včetně centrální banky);</w:t>
            </w:r>
          </w:p>
          <w:p w14:paraId="6A6E13EF"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úplné zmrazení aktiv a zákaz činnosti tří klíčových ruských bank;</w:t>
            </w:r>
          </w:p>
          <w:p w14:paraId="1BFFABE4"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rozšíření seznamu státních společností, na které se vztahují sankce;</w:t>
            </w:r>
          </w:p>
          <w:p w14:paraId="3A720B2B" w14:textId="77777777" w:rsidR="00414E90" w:rsidRPr="00414E90" w:rsidRDefault="00414E90" w:rsidP="00A34256">
            <w:pPr>
              <w:numPr>
                <w:ilvl w:val="0"/>
                <w:numId w:val="38"/>
              </w:numPr>
              <w:spacing w:line="276" w:lineRule="auto"/>
              <w:jc w:val="both"/>
              <w:rPr>
                <w:rFonts w:ascii="Tahoma" w:eastAsia="Calibri" w:hAnsi="Tahoma" w:cs="Tahoma"/>
                <w:b/>
                <w:bCs/>
                <w:sz w:val="24"/>
                <w:szCs w:val="24"/>
              </w:rPr>
            </w:pPr>
            <w:r w:rsidRPr="00414E90">
              <w:rPr>
                <w:rFonts w:ascii="Tahoma" w:eastAsia="Calibri" w:hAnsi="Tahoma" w:cs="Tahoma"/>
                <w:sz w:val="24"/>
                <w:szCs w:val="24"/>
              </w:rPr>
              <w:t>zákaz vkladů ruských elit v bankách EU, aby nemohly ukrývat své peníze v bankách EU.</w:t>
            </w:r>
          </w:p>
        </w:tc>
      </w:tr>
    </w:tbl>
    <w:p w14:paraId="156B8AE4" w14:textId="77777777" w:rsidR="00414E90" w:rsidRPr="00414E90" w:rsidRDefault="00414E90" w:rsidP="00A34256">
      <w:pPr>
        <w:spacing w:after="0"/>
        <w:ind w:left="720"/>
        <w:contextualSpacing/>
        <w:jc w:val="both"/>
        <w:rPr>
          <w:rFonts w:ascii="Tahoma" w:eastAsia="Calibri" w:hAnsi="Tahoma" w:cs="Tahoma"/>
          <w:b/>
          <w:bCs/>
          <w:sz w:val="24"/>
          <w:szCs w:val="24"/>
        </w:rPr>
      </w:pPr>
    </w:p>
    <w:p w14:paraId="59BC13A2" w14:textId="59AED0EC" w:rsidR="00414E90" w:rsidRPr="005C31B1"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V důsledku výše uvedených sankcí se 70 % ruského bankovního systému, vlády a klíčových státních společností nebude moci refinancovat na kapitálovém trhu EU.</w:t>
      </w:r>
    </w:p>
    <w:p w14:paraId="2291D583" w14:textId="77777777" w:rsidR="00414E90" w:rsidRPr="00414E90" w:rsidRDefault="00414E90" w:rsidP="00A34256">
      <w:pPr>
        <w:spacing w:after="0"/>
        <w:jc w:val="both"/>
        <w:rPr>
          <w:rFonts w:ascii="Tahoma" w:eastAsia="Calibri" w:hAnsi="Tahoma" w:cs="Tahoma"/>
          <w:sz w:val="24"/>
          <w:szCs w:val="24"/>
        </w:rPr>
      </w:pPr>
    </w:p>
    <w:p w14:paraId="1F4A20A5" w14:textId="77777777" w:rsidR="00414E90" w:rsidRPr="00414E90" w:rsidRDefault="00414E90" w:rsidP="00A34256">
      <w:pPr>
        <w:spacing w:after="0"/>
        <w:jc w:val="both"/>
        <w:rPr>
          <w:rFonts w:ascii="Tahoma" w:eastAsia="Calibri" w:hAnsi="Tahoma" w:cs="Tahoma"/>
          <w:i/>
          <w:iCs/>
          <w:sz w:val="24"/>
          <w:szCs w:val="24"/>
        </w:rPr>
      </w:pPr>
      <w:r w:rsidRPr="00414E90">
        <w:rPr>
          <w:rFonts w:ascii="Tahoma" w:eastAsia="Calibri" w:hAnsi="Tahoma" w:cs="Tahoma"/>
          <w:i/>
          <w:iCs/>
          <w:sz w:val="24"/>
          <w:szCs w:val="24"/>
        </w:rPr>
        <w:t xml:space="preserve">*** Evropská unie dosáhla politické dohody o vyloučení několika ruských bank z mezibankovního platebního systému SWIFT a formálně ochromila transakce s centrální bankou Ruska. Zablokování transakcí s ruskou centrální bankou vstoupí v platnost v okamžiku, kdy se opatření zveřejní v Úředním věstníku EU. Banky vyloučené z tohoto mezibankovního platebního styku budou patřit mezi ty, na které EU již dříve uvalila </w:t>
      </w:r>
      <w:r w:rsidRPr="00414E90">
        <w:rPr>
          <w:rFonts w:ascii="Tahoma" w:eastAsia="Calibri" w:hAnsi="Tahoma" w:cs="Tahoma"/>
          <w:i/>
          <w:iCs/>
          <w:sz w:val="24"/>
          <w:szCs w:val="24"/>
        </w:rPr>
        <w:lastRenderedPageBreak/>
        <w:t>sankce; na tomto seznamu jsou uvedeny např. Sberbank, Vněštorgbank (VTB), Gazprombank, Ruská zemědělská banka, Vněšekonombank (VEB), Alfa Bank a Bank Otkritie. Přesný seznam sankcionovaných subjektů bude brzy oznámen.***</w:t>
      </w:r>
    </w:p>
    <w:p w14:paraId="79D317E7" w14:textId="77777777" w:rsidR="00414E90" w:rsidRPr="00414E90" w:rsidRDefault="00414E90" w:rsidP="00A34256">
      <w:pPr>
        <w:spacing w:after="0"/>
        <w:jc w:val="both"/>
        <w:rPr>
          <w:rFonts w:ascii="Tahoma" w:eastAsia="Calibri" w:hAnsi="Tahoma" w:cs="Tahoma"/>
          <w:i/>
          <w:iCs/>
          <w:sz w:val="24"/>
          <w:szCs w:val="24"/>
        </w:rPr>
      </w:pPr>
    </w:p>
    <w:p w14:paraId="32490170" w14:textId="42B8A82A" w:rsidR="00414E90" w:rsidRDefault="00414E90" w:rsidP="00A34256">
      <w:pPr>
        <w:spacing w:after="0"/>
        <w:jc w:val="both"/>
        <w:rPr>
          <w:rFonts w:ascii="Tahoma" w:eastAsia="Calibri" w:hAnsi="Tahoma" w:cs="Tahoma"/>
          <w:i/>
          <w:iCs/>
          <w:sz w:val="24"/>
          <w:szCs w:val="24"/>
        </w:rPr>
      </w:pPr>
    </w:p>
    <w:p w14:paraId="35C8FDBB"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Sankce v odvětví energetiky</w:t>
      </w:r>
    </w:p>
    <w:p w14:paraId="7ABAB2D1" w14:textId="77777777" w:rsidR="00414E90" w:rsidRPr="00414E90" w:rsidRDefault="00414E90" w:rsidP="00A34256">
      <w:pPr>
        <w:spacing w:after="0"/>
        <w:jc w:val="both"/>
        <w:rPr>
          <w:rFonts w:ascii="Tahoma" w:eastAsia="Calibri" w:hAnsi="Tahoma" w:cs="Tahoma"/>
          <w:b/>
          <w:bCs/>
          <w:sz w:val="24"/>
          <w:szCs w:val="24"/>
        </w:rPr>
      </w:pPr>
    </w:p>
    <w:tbl>
      <w:tblPr>
        <w:tblStyle w:val="Mkatabulky1"/>
        <w:tblW w:w="0" w:type="auto"/>
        <w:tblInd w:w="359" w:type="dxa"/>
        <w:tblLook w:val="04A0" w:firstRow="1" w:lastRow="0" w:firstColumn="1" w:lastColumn="0" w:noHBand="0" w:noVBand="1"/>
      </w:tblPr>
      <w:tblGrid>
        <w:gridCol w:w="8342"/>
      </w:tblGrid>
      <w:tr w:rsidR="00414E90" w:rsidRPr="00414E90" w14:paraId="258AEBEE" w14:textId="77777777" w:rsidTr="009D43A0">
        <w:tc>
          <w:tcPr>
            <w:tcW w:w="8342" w:type="dxa"/>
          </w:tcPr>
          <w:p w14:paraId="676AEB7E"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Zákaz:</w:t>
            </w:r>
          </w:p>
          <w:p w14:paraId="0BD92C73" w14:textId="77777777" w:rsidR="00414E90" w:rsidRPr="00414E90" w:rsidRDefault="00414E90" w:rsidP="00A34256">
            <w:pPr>
              <w:numPr>
                <w:ilvl w:val="0"/>
                <w:numId w:val="38"/>
              </w:numPr>
              <w:spacing w:line="276" w:lineRule="auto"/>
              <w:jc w:val="both"/>
              <w:rPr>
                <w:rFonts w:ascii="Tahoma" w:eastAsia="Calibri" w:hAnsi="Tahoma" w:cs="Tahoma"/>
                <w:b/>
                <w:bCs/>
                <w:sz w:val="24"/>
                <w:szCs w:val="24"/>
              </w:rPr>
            </w:pPr>
            <w:r w:rsidRPr="00414E90">
              <w:rPr>
                <w:rFonts w:ascii="Tahoma" w:eastAsia="Calibri" w:hAnsi="Tahoma" w:cs="Tahoma"/>
                <w:sz w:val="24"/>
                <w:szCs w:val="24"/>
              </w:rPr>
              <w:t>- vývozu specifických rafinačních technologií a doplnění stávajícího zákazu vývozu ropných zařízení ze zemí EU z roku 2014.</w:t>
            </w:r>
            <w:r w:rsidRPr="00414E90">
              <w:rPr>
                <w:rFonts w:ascii="Tahoma" w:eastAsia="Calibri" w:hAnsi="Tahoma" w:cs="Tahoma"/>
                <w:b/>
                <w:bCs/>
                <w:sz w:val="24"/>
                <w:szCs w:val="24"/>
              </w:rPr>
              <w:t xml:space="preserve"> </w:t>
            </w:r>
          </w:p>
        </w:tc>
      </w:tr>
    </w:tbl>
    <w:p w14:paraId="5D89CD1F" w14:textId="775D6978" w:rsidR="00414E90" w:rsidRDefault="00414E90" w:rsidP="00A34256">
      <w:pPr>
        <w:spacing w:after="0"/>
        <w:ind w:left="720"/>
        <w:contextualSpacing/>
        <w:jc w:val="both"/>
        <w:rPr>
          <w:rFonts w:ascii="Tahoma" w:eastAsia="Calibri" w:hAnsi="Tahoma" w:cs="Tahoma"/>
          <w:b/>
          <w:bCs/>
          <w:sz w:val="24"/>
          <w:szCs w:val="24"/>
        </w:rPr>
      </w:pPr>
    </w:p>
    <w:p w14:paraId="55A41BDA" w14:textId="77777777" w:rsidR="005C31B1" w:rsidRPr="00414E90" w:rsidRDefault="005C31B1" w:rsidP="00A34256">
      <w:pPr>
        <w:spacing w:after="0"/>
        <w:ind w:left="720"/>
        <w:contextualSpacing/>
        <w:jc w:val="both"/>
        <w:rPr>
          <w:rFonts w:ascii="Tahoma" w:eastAsia="Calibri" w:hAnsi="Tahoma" w:cs="Tahoma"/>
          <w:b/>
          <w:bCs/>
          <w:sz w:val="24"/>
          <w:szCs w:val="24"/>
        </w:rPr>
      </w:pPr>
    </w:p>
    <w:p w14:paraId="0A8EF8EE"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Sankce pro sektor dopravy</w:t>
      </w:r>
    </w:p>
    <w:tbl>
      <w:tblPr>
        <w:tblStyle w:val="Mkatabulky1"/>
        <w:tblW w:w="0" w:type="auto"/>
        <w:tblInd w:w="359" w:type="dxa"/>
        <w:tblLook w:val="04A0" w:firstRow="1" w:lastRow="0" w:firstColumn="1" w:lastColumn="0" w:noHBand="0" w:noVBand="1"/>
      </w:tblPr>
      <w:tblGrid>
        <w:gridCol w:w="8342"/>
      </w:tblGrid>
      <w:tr w:rsidR="00414E90" w:rsidRPr="00414E90" w14:paraId="79FB9D0B" w14:textId="77777777" w:rsidTr="009D43A0">
        <w:tc>
          <w:tcPr>
            <w:tcW w:w="8342" w:type="dxa"/>
          </w:tcPr>
          <w:p w14:paraId="29F06DB2"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Zákaz:</w:t>
            </w:r>
          </w:p>
          <w:p w14:paraId="07AD1817"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 xml:space="preserve">Vývozu; </w:t>
            </w:r>
          </w:p>
          <w:p w14:paraId="1681D657"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 xml:space="preserve">Prodeje; </w:t>
            </w:r>
          </w:p>
          <w:p w14:paraId="0E0892FD" w14:textId="77777777" w:rsidR="00414E90" w:rsidRPr="00414E90" w:rsidRDefault="00414E90" w:rsidP="00A34256">
            <w:pPr>
              <w:numPr>
                <w:ilvl w:val="0"/>
                <w:numId w:val="38"/>
              </w:numPr>
              <w:spacing w:line="276" w:lineRule="auto"/>
              <w:jc w:val="both"/>
              <w:rPr>
                <w:rFonts w:ascii="Tahoma" w:eastAsia="Calibri" w:hAnsi="Tahoma" w:cs="Tahoma"/>
                <w:sz w:val="24"/>
                <w:szCs w:val="24"/>
              </w:rPr>
            </w:pPr>
            <w:r w:rsidRPr="00414E90">
              <w:rPr>
                <w:rFonts w:ascii="Tahoma" w:eastAsia="Calibri" w:hAnsi="Tahoma" w:cs="Tahoma"/>
                <w:sz w:val="24"/>
                <w:szCs w:val="24"/>
              </w:rPr>
              <w:t>Dodávek nebo převodu: všech letadel, letadlových dílů a vybavení do Ruska a všech souvisejících činností oprav, údržby a finančních služeb.</w:t>
            </w:r>
          </w:p>
        </w:tc>
      </w:tr>
    </w:tbl>
    <w:p w14:paraId="44C4A47C" w14:textId="5F7DF058" w:rsidR="00414E90" w:rsidRDefault="00414E90" w:rsidP="00A34256">
      <w:pPr>
        <w:spacing w:after="0"/>
        <w:jc w:val="both"/>
        <w:rPr>
          <w:rFonts w:ascii="Tahoma" w:eastAsia="Calibri" w:hAnsi="Tahoma" w:cs="Tahoma"/>
          <w:b/>
          <w:bCs/>
          <w:sz w:val="24"/>
          <w:szCs w:val="24"/>
        </w:rPr>
      </w:pPr>
    </w:p>
    <w:p w14:paraId="7D7A4199" w14:textId="56337E6C" w:rsidR="005C31B1" w:rsidRDefault="005C31B1" w:rsidP="00A34256">
      <w:pPr>
        <w:spacing w:after="0"/>
        <w:jc w:val="both"/>
        <w:rPr>
          <w:rFonts w:ascii="Tahoma" w:eastAsia="Calibri" w:hAnsi="Tahoma" w:cs="Tahoma"/>
          <w:b/>
          <w:bCs/>
          <w:sz w:val="24"/>
          <w:szCs w:val="24"/>
        </w:rPr>
      </w:pPr>
    </w:p>
    <w:p w14:paraId="46E6FBB1"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Zboží dvojího užití a vyspělé technologie</w:t>
      </w:r>
    </w:p>
    <w:tbl>
      <w:tblPr>
        <w:tblStyle w:val="Mkatabulky1"/>
        <w:tblW w:w="0" w:type="auto"/>
        <w:tblInd w:w="359" w:type="dxa"/>
        <w:tblLook w:val="04A0" w:firstRow="1" w:lastRow="0" w:firstColumn="1" w:lastColumn="0" w:noHBand="0" w:noVBand="1"/>
      </w:tblPr>
      <w:tblGrid>
        <w:gridCol w:w="8342"/>
      </w:tblGrid>
      <w:tr w:rsidR="00414E90" w:rsidRPr="00414E90" w14:paraId="1A493E37" w14:textId="77777777" w:rsidTr="009D43A0">
        <w:tc>
          <w:tcPr>
            <w:tcW w:w="8342" w:type="dxa"/>
          </w:tcPr>
          <w:p w14:paraId="26529C8E" w14:textId="13CD4C65" w:rsidR="00414E90" w:rsidRDefault="00414E90" w:rsidP="00A34256">
            <w:pPr>
              <w:spacing w:line="276" w:lineRule="auto"/>
              <w:jc w:val="both"/>
              <w:rPr>
                <w:rFonts w:ascii="Tahoma" w:eastAsia="Calibri" w:hAnsi="Tahoma" w:cs="Tahoma"/>
                <w:sz w:val="24"/>
                <w:szCs w:val="24"/>
              </w:rPr>
            </w:pPr>
            <w:bookmarkStart w:id="3" w:name="_Hlk97052994"/>
            <w:r w:rsidRPr="00414E90">
              <w:rPr>
                <w:rFonts w:ascii="Tahoma" w:eastAsia="Calibri" w:hAnsi="Tahoma" w:cs="Tahoma"/>
                <w:sz w:val="24"/>
                <w:szCs w:val="24"/>
              </w:rPr>
              <w:t xml:space="preserve">Zostření stávajících sankcí na zboží dvojího užití s cílem zaměřit se na citlivé sektory ruské armády a omezit přístup Ruska ke klíčovým vyspělým technologiím, jako jsou: </w:t>
            </w:r>
          </w:p>
          <w:p w14:paraId="45F87C22" w14:textId="77777777" w:rsidR="005C31B1" w:rsidRPr="00414E90" w:rsidRDefault="005C31B1" w:rsidP="00A34256">
            <w:pPr>
              <w:spacing w:line="276" w:lineRule="auto"/>
              <w:jc w:val="both"/>
              <w:rPr>
                <w:rFonts w:ascii="Tahoma" w:eastAsia="Calibri" w:hAnsi="Tahoma" w:cs="Tahoma"/>
                <w:sz w:val="24"/>
                <w:szCs w:val="24"/>
              </w:rPr>
            </w:pPr>
          </w:p>
          <w:p w14:paraId="4A4CB29A" w14:textId="77777777" w:rsidR="00414E90" w:rsidRPr="00414E90" w:rsidRDefault="00414E90" w:rsidP="00A34256">
            <w:pPr>
              <w:numPr>
                <w:ilvl w:val="0"/>
                <w:numId w:val="39"/>
              </w:numPr>
              <w:spacing w:line="276" w:lineRule="auto"/>
              <w:jc w:val="both"/>
              <w:rPr>
                <w:rFonts w:ascii="Tahoma" w:eastAsia="Calibri" w:hAnsi="Tahoma" w:cs="Tahoma"/>
                <w:sz w:val="24"/>
                <w:szCs w:val="24"/>
              </w:rPr>
            </w:pPr>
            <w:r w:rsidRPr="00414E90">
              <w:rPr>
                <w:rFonts w:ascii="Tahoma" w:eastAsia="Calibri" w:hAnsi="Tahoma" w:cs="Tahoma"/>
                <w:sz w:val="24"/>
                <w:szCs w:val="24"/>
              </w:rPr>
              <w:t xml:space="preserve">bezpilotní letouny a software pro bezpilotní letouny; </w:t>
            </w:r>
          </w:p>
          <w:p w14:paraId="7B6C8E91" w14:textId="77777777" w:rsidR="00414E90" w:rsidRPr="00414E90" w:rsidRDefault="00414E90" w:rsidP="00A34256">
            <w:pPr>
              <w:numPr>
                <w:ilvl w:val="0"/>
                <w:numId w:val="39"/>
              </w:numPr>
              <w:spacing w:line="276" w:lineRule="auto"/>
              <w:jc w:val="both"/>
              <w:rPr>
                <w:rFonts w:ascii="Tahoma" w:eastAsia="Calibri" w:hAnsi="Tahoma" w:cs="Tahoma"/>
                <w:sz w:val="24"/>
                <w:szCs w:val="24"/>
              </w:rPr>
            </w:pPr>
            <w:r w:rsidRPr="00414E90">
              <w:rPr>
                <w:rFonts w:ascii="Tahoma" w:eastAsia="Calibri" w:hAnsi="Tahoma" w:cs="Tahoma"/>
                <w:sz w:val="24"/>
                <w:szCs w:val="24"/>
              </w:rPr>
              <w:t xml:space="preserve">software pro šifrovací zařízení; </w:t>
            </w:r>
          </w:p>
          <w:p w14:paraId="0EA63B9A" w14:textId="77777777" w:rsidR="00414E90" w:rsidRPr="00414E90" w:rsidRDefault="00414E90" w:rsidP="00A34256">
            <w:pPr>
              <w:numPr>
                <w:ilvl w:val="0"/>
                <w:numId w:val="39"/>
              </w:numPr>
              <w:spacing w:line="276" w:lineRule="auto"/>
              <w:jc w:val="both"/>
              <w:rPr>
                <w:rFonts w:ascii="Tahoma" w:eastAsia="Calibri" w:hAnsi="Tahoma" w:cs="Tahoma"/>
                <w:sz w:val="24"/>
                <w:szCs w:val="24"/>
              </w:rPr>
            </w:pPr>
            <w:r w:rsidRPr="00414E90">
              <w:rPr>
                <w:rFonts w:ascii="Tahoma" w:eastAsia="Calibri" w:hAnsi="Tahoma" w:cs="Tahoma"/>
                <w:sz w:val="24"/>
                <w:szCs w:val="24"/>
              </w:rPr>
              <w:t>polovodiče a pokročilá elektronika.</w:t>
            </w:r>
          </w:p>
        </w:tc>
      </w:tr>
      <w:bookmarkEnd w:id="3"/>
    </w:tbl>
    <w:p w14:paraId="06E49176" w14:textId="77777777" w:rsidR="00414E90" w:rsidRPr="00414E90" w:rsidRDefault="00414E90" w:rsidP="00A34256">
      <w:pPr>
        <w:spacing w:after="0"/>
        <w:jc w:val="both"/>
        <w:rPr>
          <w:rFonts w:ascii="Tahoma" w:eastAsia="Calibri" w:hAnsi="Tahoma" w:cs="Tahoma"/>
          <w:b/>
          <w:bCs/>
          <w:sz w:val="24"/>
          <w:szCs w:val="24"/>
        </w:rPr>
      </w:pPr>
    </w:p>
    <w:p w14:paraId="09AD084E"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Vízová opatření</w:t>
      </w:r>
    </w:p>
    <w:tbl>
      <w:tblPr>
        <w:tblStyle w:val="Mkatabulky1"/>
        <w:tblW w:w="0" w:type="auto"/>
        <w:tblInd w:w="359" w:type="dxa"/>
        <w:tblLook w:val="04A0" w:firstRow="1" w:lastRow="0" w:firstColumn="1" w:lastColumn="0" w:noHBand="0" w:noVBand="1"/>
      </w:tblPr>
      <w:tblGrid>
        <w:gridCol w:w="8342"/>
      </w:tblGrid>
      <w:tr w:rsidR="00414E90" w:rsidRPr="00414E90" w14:paraId="5FD6AF3E" w14:textId="77777777" w:rsidTr="009D43A0">
        <w:tc>
          <w:tcPr>
            <w:tcW w:w="8342" w:type="dxa"/>
          </w:tcPr>
          <w:p w14:paraId="4E2440CC" w14:textId="77777777" w:rsidR="00414E90" w:rsidRPr="00414E90" w:rsidRDefault="00414E90" w:rsidP="00A34256">
            <w:pPr>
              <w:spacing w:line="276" w:lineRule="auto"/>
              <w:jc w:val="both"/>
              <w:rPr>
                <w:rFonts w:ascii="Tahoma" w:eastAsia="Calibri" w:hAnsi="Tahoma" w:cs="Tahoma"/>
                <w:sz w:val="24"/>
                <w:szCs w:val="24"/>
              </w:rPr>
            </w:pPr>
            <w:r w:rsidRPr="00414E90">
              <w:rPr>
                <w:rFonts w:ascii="Tahoma" w:eastAsia="Calibri" w:hAnsi="Tahoma" w:cs="Tahoma"/>
                <w:sz w:val="24"/>
                <w:szCs w:val="24"/>
              </w:rPr>
              <w:t>Pozastavení bezvízového styku pro diplomaty a zjednodušení vízového styku pro držitele služebních pasů a podnikatele.</w:t>
            </w:r>
          </w:p>
        </w:tc>
      </w:tr>
    </w:tbl>
    <w:p w14:paraId="4A0DD542" w14:textId="77777777" w:rsidR="00414E90" w:rsidRPr="00414E90" w:rsidRDefault="00414E90" w:rsidP="00A34256">
      <w:pPr>
        <w:spacing w:after="0"/>
        <w:jc w:val="both"/>
        <w:rPr>
          <w:rFonts w:ascii="Tahoma" w:eastAsia="Calibri" w:hAnsi="Tahoma" w:cs="Tahoma"/>
          <w:b/>
          <w:bCs/>
          <w:sz w:val="24"/>
          <w:szCs w:val="24"/>
        </w:rPr>
      </w:pPr>
    </w:p>
    <w:p w14:paraId="0FBB28DC" w14:textId="68BEFC1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I když byly sankce dohodnuty, je třeba je podrobněji vysvětlit, aby bylo možné je uplatnit a posoudit jejich dopad na evropský výrobní sektor. Nejdůležitější části sankcí pro evropský průmysl obráběcích a tvářecích strojů jsou založeny na dvou bodech:</w:t>
      </w:r>
    </w:p>
    <w:p w14:paraId="1A1B3845" w14:textId="77777777" w:rsidR="00414E90" w:rsidRPr="00414E90" w:rsidRDefault="00414E90" w:rsidP="00A34256">
      <w:pPr>
        <w:numPr>
          <w:ilvl w:val="0"/>
          <w:numId w:val="40"/>
        </w:numPr>
        <w:spacing w:after="0"/>
        <w:contextualSpacing/>
        <w:jc w:val="both"/>
        <w:rPr>
          <w:rFonts w:ascii="Tahoma" w:eastAsia="Calibri" w:hAnsi="Tahoma" w:cs="Tahoma"/>
          <w:sz w:val="24"/>
          <w:szCs w:val="24"/>
        </w:rPr>
      </w:pPr>
      <w:r w:rsidRPr="00414E90">
        <w:rPr>
          <w:rFonts w:ascii="Tahoma" w:eastAsia="Calibri" w:hAnsi="Tahoma" w:cs="Tahoma"/>
          <w:sz w:val="24"/>
          <w:szCs w:val="24"/>
        </w:rPr>
        <w:t>přísnější kontrola zboží dvojího užití a pokročilých technologií,</w:t>
      </w:r>
    </w:p>
    <w:p w14:paraId="214A7953" w14:textId="214FB969" w:rsidR="00414E90" w:rsidRDefault="00414E90" w:rsidP="00A34256">
      <w:pPr>
        <w:numPr>
          <w:ilvl w:val="0"/>
          <w:numId w:val="40"/>
        </w:numPr>
        <w:spacing w:after="0"/>
        <w:contextualSpacing/>
        <w:jc w:val="both"/>
        <w:rPr>
          <w:rFonts w:ascii="Tahoma" w:eastAsia="Calibri" w:hAnsi="Tahoma" w:cs="Tahoma"/>
          <w:sz w:val="24"/>
          <w:szCs w:val="24"/>
        </w:rPr>
      </w:pPr>
      <w:r w:rsidRPr="00414E90">
        <w:rPr>
          <w:rFonts w:ascii="Tahoma" w:eastAsia="Calibri" w:hAnsi="Tahoma" w:cs="Tahoma"/>
          <w:sz w:val="24"/>
          <w:szCs w:val="24"/>
        </w:rPr>
        <w:t>sankce v odvětví dopravy.</w:t>
      </w:r>
    </w:p>
    <w:p w14:paraId="0A88B4E3" w14:textId="77777777" w:rsidR="005C31B1" w:rsidRPr="00414E90" w:rsidRDefault="005C31B1" w:rsidP="00A34256">
      <w:pPr>
        <w:spacing w:after="0"/>
        <w:ind w:left="720"/>
        <w:contextualSpacing/>
        <w:jc w:val="both"/>
        <w:rPr>
          <w:rFonts w:ascii="Tahoma" w:eastAsia="Calibri" w:hAnsi="Tahoma" w:cs="Tahoma"/>
          <w:sz w:val="24"/>
          <w:szCs w:val="24"/>
        </w:rPr>
      </w:pPr>
    </w:p>
    <w:p w14:paraId="411D18DA"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lastRenderedPageBreak/>
        <w:t>Odvětví MT již bylo negativně ovlivněn sankcemi z roku 2014, přičemž se očekává, že nové sankce budou mít další negativní dopad. Ze zemí CECIMO se však dotknou především zemí s větším podílem vývozu do Ruska.</w:t>
      </w:r>
    </w:p>
    <w:p w14:paraId="144F49C6" w14:textId="77777777" w:rsidR="00414E90" w:rsidRPr="00414E90" w:rsidRDefault="00414E90" w:rsidP="00A34256">
      <w:pPr>
        <w:spacing w:after="0"/>
        <w:jc w:val="both"/>
        <w:rPr>
          <w:rFonts w:ascii="Tahoma" w:eastAsia="Calibri" w:hAnsi="Tahoma" w:cs="Tahoma"/>
          <w:sz w:val="24"/>
          <w:szCs w:val="24"/>
        </w:rPr>
      </w:pPr>
    </w:p>
    <w:p w14:paraId="40CDFDF5"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noProof/>
          <w:sz w:val="24"/>
          <w:szCs w:val="24"/>
        </w:rPr>
        <w:drawing>
          <wp:inline distT="0" distB="0" distL="0" distR="0" wp14:anchorId="1F98ACC6" wp14:editId="3F28F255">
            <wp:extent cx="5760720" cy="2489835"/>
            <wp:effectExtent l="0" t="0" r="0" b="571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489835"/>
                    </a:xfrm>
                    <a:prstGeom prst="rect">
                      <a:avLst/>
                    </a:prstGeom>
                    <a:noFill/>
                    <a:ln>
                      <a:noFill/>
                    </a:ln>
                  </pic:spPr>
                </pic:pic>
              </a:graphicData>
            </a:graphic>
          </wp:inline>
        </w:drawing>
      </w:r>
    </w:p>
    <w:p w14:paraId="39946F5B" w14:textId="77777777" w:rsidR="00414E90" w:rsidRPr="00414E90" w:rsidRDefault="00414E90" w:rsidP="00A34256">
      <w:pPr>
        <w:spacing w:after="0"/>
        <w:jc w:val="both"/>
        <w:rPr>
          <w:rFonts w:ascii="Tahoma" w:eastAsia="Calibri" w:hAnsi="Tahoma" w:cs="Tahoma"/>
          <w:sz w:val="24"/>
          <w:szCs w:val="24"/>
        </w:rPr>
      </w:pPr>
    </w:p>
    <w:p w14:paraId="0E80B740"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 xml:space="preserve">Možné dopady západních sankcí proti Rusku na evropský sektor MT: </w:t>
      </w:r>
    </w:p>
    <w:p w14:paraId="7B02C6C5"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V předchozím textu se odkazuje především na sankce Evropské unie. Je však důležité poznamenat, že další země, jako jsou Spojené státy, Velká Británie a Kanada, rovněž zavedly vůči členským státům stejné nebo podobné sankce. Následující text upozorňuje na možné důsledky těchto sankcí na evropský průmysl MT a související výrobní technologie.</w:t>
      </w:r>
    </w:p>
    <w:p w14:paraId="3490806F"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 xml:space="preserve">Rusko </w:t>
      </w:r>
    </w:p>
    <w:p w14:paraId="269BE862" w14:textId="28192690" w:rsidR="00414E90" w:rsidRPr="00414E90" w:rsidRDefault="00414E90" w:rsidP="00A34256">
      <w:pPr>
        <w:numPr>
          <w:ilvl w:val="0"/>
          <w:numId w:val="41"/>
        </w:numPr>
        <w:spacing w:after="0"/>
        <w:contextualSpacing/>
        <w:jc w:val="both"/>
        <w:rPr>
          <w:rFonts w:ascii="Tahoma" w:eastAsia="Calibri" w:hAnsi="Tahoma" w:cs="Tahoma"/>
          <w:sz w:val="24"/>
          <w:szCs w:val="24"/>
        </w:rPr>
      </w:pPr>
      <w:r w:rsidRPr="00414E90">
        <w:rPr>
          <w:rFonts w:ascii="Tahoma" w:eastAsia="Calibri" w:hAnsi="Tahoma" w:cs="Tahoma"/>
          <w:sz w:val="24"/>
          <w:szCs w:val="24"/>
        </w:rPr>
        <w:t>Evropský sektor MT byl již postižen sankcemi EU uvalenými v roce 2014, které vedly k omezení obchodních aktivit a k přesunu výrobních společností z EU do jiných zemí. Obchod z velkých zemí CECIMO do Ruska klesá od anexe Krymu. Není proto pravděpodobné, že dopad nových sankcí bude tak silný jako v případě let 2014/2015. Vývoz do Ruska by se však mohl v důsledku přísnějších sankcí dále snížit, pokud jde o zboží dvojího užití a odvětví energetiky a dopravy. Vzhledem k tomu, že mnoho výrobků evropských výrobců MT může být kvalifikováno jako zboží dvojího užití, mohly by další sankce negativně ovlivnit vývoz těchto výrobků. Kromě toho sankce týkající se zákazu vývozu nejnovějších technologií používaných v odvětvích energetiky a dopravy by mohly snížit vývoz nejnovějších MT technologií do Ruské federace.</w:t>
      </w:r>
    </w:p>
    <w:p w14:paraId="462ECB12" w14:textId="77777777" w:rsidR="00414E90" w:rsidRPr="00414E90" w:rsidRDefault="00414E90" w:rsidP="00A34256">
      <w:pPr>
        <w:spacing w:after="0"/>
        <w:ind w:left="720"/>
        <w:contextualSpacing/>
        <w:jc w:val="both"/>
        <w:rPr>
          <w:rFonts w:ascii="Tahoma" w:eastAsia="Calibri" w:hAnsi="Tahoma" w:cs="Tahoma"/>
          <w:sz w:val="24"/>
          <w:szCs w:val="24"/>
        </w:rPr>
      </w:pPr>
    </w:p>
    <w:p w14:paraId="0C3158B8" w14:textId="77777777" w:rsidR="00414E90" w:rsidRPr="00414E90" w:rsidRDefault="00414E90" w:rsidP="00A34256">
      <w:pPr>
        <w:numPr>
          <w:ilvl w:val="0"/>
          <w:numId w:val="41"/>
        </w:numPr>
        <w:spacing w:after="0"/>
        <w:contextualSpacing/>
        <w:jc w:val="both"/>
        <w:rPr>
          <w:rFonts w:ascii="Tahoma" w:eastAsia="Calibri" w:hAnsi="Tahoma" w:cs="Tahoma"/>
          <w:sz w:val="24"/>
          <w:szCs w:val="24"/>
        </w:rPr>
      </w:pPr>
      <w:r w:rsidRPr="00414E90">
        <w:rPr>
          <w:rFonts w:ascii="Tahoma" w:eastAsia="Calibri" w:hAnsi="Tahoma" w:cs="Tahoma"/>
          <w:sz w:val="24"/>
          <w:szCs w:val="24"/>
        </w:rPr>
        <w:t>Vzhledem k relativně malému podílu vývozu do Ruska (přibližně 3,45 % z celkového objemu CECIMO MT), který od roku 2014 klesá, se neočekává, že by měl vývoz do Ruska významný dopad na evropský sektor MT v celosvětovém měřítku. Nicméně některé země CECIMO s největším podílem vývozu do tohoto regionu a jejich výrobci MT budou ovlivněny více než ostatní.</w:t>
      </w:r>
    </w:p>
    <w:p w14:paraId="5C2542E4" w14:textId="77777777" w:rsidR="00414E90" w:rsidRPr="00414E90" w:rsidRDefault="00414E90" w:rsidP="00A34256">
      <w:pPr>
        <w:spacing w:after="0"/>
        <w:ind w:left="720"/>
        <w:contextualSpacing/>
        <w:rPr>
          <w:rFonts w:ascii="Tahoma" w:eastAsia="Calibri" w:hAnsi="Tahoma" w:cs="Tahoma"/>
          <w:sz w:val="24"/>
          <w:szCs w:val="24"/>
        </w:rPr>
      </w:pPr>
    </w:p>
    <w:p w14:paraId="1C83F993" w14:textId="77777777" w:rsidR="00414E90" w:rsidRPr="00414E90" w:rsidRDefault="00414E90" w:rsidP="00A34256">
      <w:pPr>
        <w:numPr>
          <w:ilvl w:val="0"/>
          <w:numId w:val="41"/>
        </w:numPr>
        <w:spacing w:after="0"/>
        <w:contextualSpacing/>
        <w:jc w:val="both"/>
        <w:rPr>
          <w:rFonts w:ascii="Tahoma" w:eastAsia="Calibri" w:hAnsi="Tahoma" w:cs="Tahoma"/>
          <w:sz w:val="24"/>
          <w:szCs w:val="24"/>
        </w:rPr>
      </w:pPr>
      <w:r w:rsidRPr="00414E90">
        <w:rPr>
          <w:rFonts w:ascii="Tahoma" w:eastAsia="Calibri" w:hAnsi="Tahoma" w:cs="Tahoma"/>
          <w:sz w:val="24"/>
          <w:szCs w:val="24"/>
        </w:rPr>
        <w:lastRenderedPageBreak/>
        <w:t>Nejvýznamnější dopad na evropské výrobce, možná ještě větší než ten, který mají sankce, by se mohl projevit v souvislosti s náklady na energii. V důsledku ruské invaze na Ukrajinu se zvýšily ceny energií (plyn, pohonné hmoty), stejně jako ceny některých materiálů (ocel, titan, hliník, palladium, vanad), které dodává Rusko a Ukrajina a které se používají ve světovém průmyslu, a pravděpodobně zůstanou vysoké. Vyšší ceny energií, které jsou stále na vysokých úrovních v důsledku globální pandemie, ale pravděpodobně nebudou mít dlouhodobé trvání. V krátkodobém/střednědobém horizontu mohou mít dopad na objednávky MT z hlavních nákupních odvětví MT (automobilový průmysl, letecký a kosmický průmysl).</w:t>
      </w:r>
    </w:p>
    <w:p w14:paraId="0E0A4097" w14:textId="77777777" w:rsidR="00414E90" w:rsidRPr="00414E90" w:rsidRDefault="00414E90" w:rsidP="00A34256">
      <w:pPr>
        <w:spacing w:after="0"/>
        <w:ind w:left="720"/>
        <w:contextualSpacing/>
        <w:rPr>
          <w:rFonts w:ascii="Tahoma" w:eastAsia="Calibri" w:hAnsi="Tahoma" w:cs="Tahoma"/>
          <w:sz w:val="24"/>
          <w:szCs w:val="24"/>
        </w:rPr>
      </w:pPr>
    </w:p>
    <w:p w14:paraId="3A5C9F92" w14:textId="77777777" w:rsidR="00414E90" w:rsidRPr="00414E90" w:rsidRDefault="00414E90" w:rsidP="00A34256">
      <w:pPr>
        <w:numPr>
          <w:ilvl w:val="0"/>
          <w:numId w:val="41"/>
        </w:numPr>
        <w:spacing w:after="0"/>
        <w:contextualSpacing/>
        <w:jc w:val="both"/>
        <w:rPr>
          <w:rFonts w:ascii="Tahoma" w:eastAsia="Calibri" w:hAnsi="Tahoma" w:cs="Tahoma"/>
          <w:sz w:val="24"/>
          <w:szCs w:val="24"/>
        </w:rPr>
      </w:pPr>
      <w:r w:rsidRPr="00414E90">
        <w:rPr>
          <w:rFonts w:ascii="Tahoma" w:eastAsia="Calibri" w:hAnsi="Tahoma" w:cs="Tahoma"/>
          <w:sz w:val="24"/>
          <w:szCs w:val="24"/>
        </w:rPr>
        <w:t>I když počet evropských společností v Rusku od roku 2014 klesá, je důležité, že mnoho evropských výrobců v Rusku nadále působí. Vzhledem k nedávnému vývoji mohou tyto společnosti čelit významným problémům s dodavatelskými řetězci, výrobou a dalšími operacemi, které jsou potřebné pro běžnou obchodní činnost.</w:t>
      </w:r>
    </w:p>
    <w:p w14:paraId="0E627F28" w14:textId="77777777" w:rsidR="00414E90" w:rsidRPr="00414E90" w:rsidRDefault="00414E90" w:rsidP="00A34256">
      <w:pPr>
        <w:spacing w:after="0"/>
        <w:ind w:left="720"/>
        <w:contextualSpacing/>
        <w:rPr>
          <w:rFonts w:ascii="Tahoma" w:eastAsia="Calibri" w:hAnsi="Tahoma" w:cs="Tahoma"/>
          <w:sz w:val="24"/>
          <w:szCs w:val="24"/>
        </w:rPr>
      </w:pPr>
    </w:p>
    <w:p w14:paraId="73B4D035" w14:textId="77777777" w:rsidR="00414E90" w:rsidRPr="00414E90" w:rsidRDefault="00414E90" w:rsidP="00A34256">
      <w:pPr>
        <w:numPr>
          <w:ilvl w:val="0"/>
          <w:numId w:val="41"/>
        </w:numPr>
        <w:spacing w:after="0"/>
        <w:contextualSpacing/>
        <w:jc w:val="both"/>
        <w:rPr>
          <w:rFonts w:ascii="Tahoma" w:eastAsia="Calibri" w:hAnsi="Tahoma" w:cs="Tahoma"/>
          <w:sz w:val="24"/>
          <w:szCs w:val="24"/>
        </w:rPr>
      </w:pPr>
      <w:r w:rsidRPr="00414E90">
        <w:rPr>
          <w:rFonts w:ascii="Tahoma" w:eastAsia="Calibri" w:hAnsi="Tahoma" w:cs="Tahoma"/>
          <w:sz w:val="24"/>
          <w:szCs w:val="24"/>
        </w:rPr>
        <w:t>Evropský sektor MT by se mohl potýkat s finančními problémy při spolupráci se společnostmi v Rusku kvůli uvalení sankcí na ruský finanční sektor.</w:t>
      </w:r>
    </w:p>
    <w:p w14:paraId="7AA487AC" w14:textId="77777777" w:rsidR="00414E90" w:rsidRPr="00414E90" w:rsidRDefault="00414E90" w:rsidP="00A34256">
      <w:pPr>
        <w:spacing w:after="0"/>
        <w:ind w:left="720"/>
        <w:contextualSpacing/>
        <w:rPr>
          <w:rFonts w:ascii="Tahoma" w:eastAsia="Calibri" w:hAnsi="Tahoma" w:cs="Tahoma"/>
          <w:sz w:val="24"/>
          <w:szCs w:val="24"/>
        </w:rPr>
      </w:pPr>
    </w:p>
    <w:p w14:paraId="14F5CC98" w14:textId="77777777" w:rsidR="00414E90" w:rsidRPr="00414E90" w:rsidRDefault="00414E90" w:rsidP="00A34256">
      <w:pPr>
        <w:spacing w:after="0"/>
        <w:ind w:left="720"/>
        <w:contextualSpacing/>
        <w:jc w:val="both"/>
        <w:rPr>
          <w:rFonts w:ascii="Tahoma" w:eastAsia="Calibri" w:hAnsi="Tahoma" w:cs="Tahoma"/>
          <w:sz w:val="24"/>
          <w:szCs w:val="24"/>
        </w:rPr>
      </w:pPr>
    </w:p>
    <w:p w14:paraId="34B6A77B"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 xml:space="preserve">Ukrajina </w:t>
      </w:r>
    </w:p>
    <w:p w14:paraId="5E43DF5E" w14:textId="77777777" w:rsidR="00414E90" w:rsidRPr="00414E90" w:rsidRDefault="00414E90" w:rsidP="00A34256">
      <w:pPr>
        <w:numPr>
          <w:ilvl w:val="0"/>
          <w:numId w:val="42"/>
        </w:numPr>
        <w:spacing w:after="0"/>
        <w:contextualSpacing/>
        <w:jc w:val="both"/>
        <w:rPr>
          <w:rFonts w:ascii="Tahoma" w:eastAsia="Calibri" w:hAnsi="Tahoma" w:cs="Tahoma"/>
          <w:sz w:val="24"/>
          <w:szCs w:val="24"/>
        </w:rPr>
      </w:pPr>
      <w:r w:rsidRPr="00414E90">
        <w:rPr>
          <w:rFonts w:ascii="Tahoma" w:eastAsia="Calibri" w:hAnsi="Tahoma" w:cs="Tahoma"/>
          <w:sz w:val="24"/>
          <w:szCs w:val="24"/>
        </w:rPr>
        <w:t>Ukrajina nepředstavuje pro evropské vývozce MT významný trh. Nicméně, jednotlivé evropské společnosti, které mají obchodní aktivity s ukrajinskými partnery, mohou pravděpodobně v krátkodobém/střednědobém horizontu přijít o zakázky z tohoto regionu.</w:t>
      </w:r>
    </w:p>
    <w:p w14:paraId="6CDCF023" w14:textId="77777777" w:rsidR="00414E90" w:rsidRPr="00414E90" w:rsidRDefault="00414E90" w:rsidP="00A34256">
      <w:pPr>
        <w:spacing w:after="0"/>
        <w:ind w:left="720"/>
        <w:contextualSpacing/>
        <w:jc w:val="both"/>
        <w:rPr>
          <w:rFonts w:ascii="Tahoma" w:eastAsia="Calibri" w:hAnsi="Tahoma" w:cs="Tahoma"/>
          <w:sz w:val="24"/>
          <w:szCs w:val="24"/>
        </w:rPr>
      </w:pPr>
    </w:p>
    <w:p w14:paraId="72F56A7E" w14:textId="77777777" w:rsidR="00414E90" w:rsidRPr="00414E90" w:rsidRDefault="00414E90" w:rsidP="00A34256">
      <w:pPr>
        <w:numPr>
          <w:ilvl w:val="0"/>
          <w:numId w:val="42"/>
        </w:numPr>
        <w:spacing w:after="0"/>
        <w:contextualSpacing/>
        <w:jc w:val="both"/>
        <w:rPr>
          <w:rFonts w:ascii="Tahoma" w:eastAsia="Calibri" w:hAnsi="Tahoma" w:cs="Tahoma"/>
          <w:sz w:val="24"/>
          <w:szCs w:val="24"/>
        </w:rPr>
      </w:pPr>
      <w:r w:rsidRPr="00414E90">
        <w:rPr>
          <w:rFonts w:ascii="Tahoma" w:eastAsia="Calibri" w:hAnsi="Tahoma" w:cs="Tahoma"/>
          <w:sz w:val="24"/>
          <w:szCs w:val="24"/>
        </w:rPr>
        <w:t>Je důležité zdůraznit, že Rusko i Ukrajina jsou čistými vývozci oceli. Současný stav bude mít jistě vliv na mezinárodní dostupnost oceli. Proto se u komodit a surovin rovněž očekává trvalý růst.</w:t>
      </w:r>
    </w:p>
    <w:p w14:paraId="4C0366AC" w14:textId="77777777" w:rsidR="00414E90" w:rsidRPr="00414E90" w:rsidRDefault="00414E90" w:rsidP="00A34256">
      <w:pPr>
        <w:spacing w:after="0"/>
        <w:ind w:left="720"/>
        <w:contextualSpacing/>
        <w:rPr>
          <w:rFonts w:ascii="Tahoma" w:eastAsia="Calibri" w:hAnsi="Tahoma" w:cs="Tahoma"/>
          <w:sz w:val="24"/>
          <w:szCs w:val="24"/>
        </w:rPr>
      </w:pPr>
    </w:p>
    <w:p w14:paraId="3986BAE9" w14:textId="77777777" w:rsidR="00414E90" w:rsidRPr="00414E90" w:rsidRDefault="00414E90" w:rsidP="00A34256">
      <w:pPr>
        <w:numPr>
          <w:ilvl w:val="0"/>
          <w:numId w:val="42"/>
        </w:numPr>
        <w:spacing w:after="0"/>
        <w:contextualSpacing/>
        <w:jc w:val="both"/>
        <w:rPr>
          <w:rFonts w:ascii="Tahoma" w:eastAsia="Calibri" w:hAnsi="Tahoma" w:cs="Tahoma"/>
          <w:sz w:val="24"/>
          <w:szCs w:val="24"/>
        </w:rPr>
      </w:pPr>
      <w:r w:rsidRPr="00414E90">
        <w:rPr>
          <w:rFonts w:ascii="Tahoma" w:eastAsia="Calibri" w:hAnsi="Tahoma" w:cs="Tahoma"/>
          <w:sz w:val="24"/>
          <w:szCs w:val="24"/>
        </w:rPr>
        <w:t>S ohledem na budoucí vývoj by si oživení ukrajinského průmyslu mělo vyžádat investice do MT. Očekává se, že na Ukrajině budou investovány značné stimulační prostředky, především ze strany Spojených států a EU.</w:t>
      </w:r>
    </w:p>
    <w:p w14:paraId="00BD621A" w14:textId="77777777" w:rsidR="00414E90" w:rsidRPr="00414E90" w:rsidRDefault="00414E90" w:rsidP="00A34256">
      <w:pPr>
        <w:spacing w:after="0"/>
        <w:ind w:left="720"/>
        <w:contextualSpacing/>
        <w:rPr>
          <w:rFonts w:ascii="Tahoma" w:eastAsia="Calibri" w:hAnsi="Tahoma" w:cs="Tahoma"/>
          <w:sz w:val="24"/>
          <w:szCs w:val="24"/>
        </w:rPr>
      </w:pPr>
    </w:p>
    <w:p w14:paraId="7C6930AB" w14:textId="77777777" w:rsidR="00414E90" w:rsidRPr="00414E90" w:rsidRDefault="00414E90" w:rsidP="00A34256">
      <w:pPr>
        <w:spacing w:after="0"/>
        <w:ind w:left="720"/>
        <w:contextualSpacing/>
        <w:jc w:val="both"/>
        <w:rPr>
          <w:rFonts w:ascii="Tahoma" w:eastAsia="Calibri" w:hAnsi="Tahoma" w:cs="Tahoma"/>
          <w:sz w:val="24"/>
          <w:szCs w:val="24"/>
        </w:rPr>
      </w:pPr>
    </w:p>
    <w:p w14:paraId="6A7D1D49" w14:textId="77777777" w:rsidR="00414E90" w:rsidRPr="00414E90" w:rsidRDefault="00414E90" w:rsidP="00A34256">
      <w:pPr>
        <w:spacing w:after="0"/>
        <w:jc w:val="both"/>
        <w:rPr>
          <w:rFonts w:ascii="Tahoma" w:eastAsia="Calibri" w:hAnsi="Tahoma" w:cs="Tahoma"/>
          <w:b/>
          <w:bCs/>
          <w:sz w:val="24"/>
          <w:szCs w:val="24"/>
        </w:rPr>
      </w:pPr>
      <w:r w:rsidRPr="00414E90">
        <w:rPr>
          <w:rFonts w:ascii="Tahoma" w:eastAsia="Calibri" w:hAnsi="Tahoma" w:cs="Tahoma"/>
          <w:b/>
          <w:bCs/>
          <w:sz w:val="24"/>
          <w:szCs w:val="24"/>
        </w:rPr>
        <w:t>Bělorusko</w:t>
      </w:r>
    </w:p>
    <w:p w14:paraId="5CD966FD" w14:textId="77777777" w:rsidR="00414E90" w:rsidRPr="00414E90" w:rsidRDefault="00414E90" w:rsidP="00A34256">
      <w:pPr>
        <w:numPr>
          <w:ilvl w:val="0"/>
          <w:numId w:val="43"/>
        </w:numPr>
        <w:spacing w:after="0"/>
        <w:contextualSpacing/>
        <w:jc w:val="both"/>
        <w:rPr>
          <w:rFonts w:ascii="Tahoma" w:eastAsia="Calibri" w:hAnsi="Tahoma" w:cs="Tahoma"/>
          <w:sz w:val="24"/>
          <w:szCs w:val="24"/>
        </w:rPr>
      </w:pPr>
      <w:r w:rsidRPr="00414E90">
        <w:rPr>
          <w:rFonts w:ascii="Tahoma" w:eastAsia="Calibri" w:hAnsi="Tahoma" w:cs="Tahoma"/>
          <w:sz w:val="24"/>
          <w:szCs w:val="24"/>
        </w:rPr>
        <w:t>Bělorusko nepředstavuje pro evropské vývozce MT významný trh. Nicméně by Bělorusko mohlo čelit dalším západním sankcím kvůli své podpoře Ruska při invazi na Ukrajinu. Společnosti obchodující s Běloruskem by mohly očekávat potíže týkající se obchodních a finančních aktivit.</w:t>
      </w:r>
    </w:p>
    <w:p w14:paraId="1B50E037" w14:textId="77777777" w:rsidR="00414E90" w:rsidRPr="00414E90" w:rsidRDefault="00414E90" w:rsidP="00A34256">
      <w:pPr>
        <w:spacing w:after="0"/>
        <w:jc w:val="both"/>
        <w:rPr>
          <w:rFonts w:ascii="Tahoma" w:eastAsia="Calibri" w:hAnsi="Tahoma" w:cs="Tahoma"/>
          <w:sz w:val="24"/>
          <w:szCs w:val="24"/>
        </w:rPr>
      </w:pPr>
    </w:p>
    <w:p w14:paraId="08B64B77" w14:textId="77777777"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b/>
          <w:bCs/>
          <w:sz w:val="24"/>
          <w:szCs w:val="24"/>
        </w:rPr>
        <w:lastRenderedPageBreak/>
        <w:t>Je důležité si uvědomit, že Evropská unie je největším obchodním partnerem Ruska a představuje 37 % celosvětového obchodu Ruska v roce 2020</w:t>
      </w:r>
      <w:r w:rsidRPr="00414E90">
        <w:rPr>
          <w:rFonts w:ascii="Tahoma" w:eastAsia="Calibri" w:hAnsi="Tahoma" w:cs="Tahoma"/>
          <w:sz w:val="24"/>
          <w:szCs w:val="24"/>
        </w:rPr>
        <w:t>. Velkou část z toho tvoří energie - přibližně 70 % ruského vývozu plynu a polovina vývozu pohonných hmot směřuje do Evropy. Vzhledem k tomu, že ruská ekonomika je hnána vývozem plynu a paliv do Evropy, se neočekává, že by Evropa čelila jakémukoli snížení dodávek plynu nebo paliv. Očekává se však kolísání cen na světovém trhu.</w:t>
      </w:r>
    </w:p>
    <w:p w14:paraId="5479D185" w14:textId="4423717C" w:rsidR="00414E90" w:rsidRP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Pro evropské výrobce v době, kdy se mnoho podniků vzpamatovává z dopadů krize COVID-19, bude mít jakékoli narušení obchodu za následek nižší finanční přínosy, protože evropský výrobní sektor je silně orientován na vývoz. Pouze přibližně 3 % evropského vývozu MT však směřují do Ruska a pouze 0,16 % evropského dovozu MT pochází z Ruska, takže celkový dopad nového obchodního režimu na odvětví MT by neměl být výrazný, neboť jen doplňuje sankce</w:t>
      </w:r>
      <w:r w:rsidR="001C0929">
        <w:rPr>
          <w:rFonts w:ascii="Tahoma" w:eastAsia="Calibri" w:hAnsi="Tahoma" w:cs="Tahoma"/>
          <w:sz w:val="24"/>
          <w:szCs w:val="24"/>
        </w:rPr>
        <w:t>, které byly</w:t>
      </w:r>
      <w:r w:rsidRPr="00414E90">
        <w:rPr>
          <w:rFonts w:ascii="Tahoma" w:eastAsia="Calibri" w:hAnsi="Tahoma" w:cs="Tahoma"/>
          <w:sz w:val="24"/>
          <w:szCs w:val="24"/>
        </w:rPr>
        <w:t xml:space="preserve"> zaveden</w:t>
      </w:r>
      <w:r w:rsidR="001C0929">
        <w:rPr>
          <w:rFonts w:ascii="Tahoma" w:eastAsia="Calibri" w:hAnsi="Tahoma" w:cs="Tahoma"/>
          <w:sz w:val="24"/>
          <w:szCs w:val="24"/>
        </w:rPr>
        <w:t>y už</w:t>
      </w:r>
      <w:r w:rsidRPr="00414E90">
        <w:rPr>
          <w:rFonts w:ascii="Tahoma" w:eastAsia="Calibri" w:hAnsi="Tahoma" w:cs="Tahoma"/>
          <w:sz w:val="24"/>
          <w:szCs w:val="24"/>
        </w:rPr>
        <w:t xml:space="preserve"> od roku 2014.</w:t>
      </w:r>
    </w:p>
    <w:p w14:paraId="6067CB7B" w14:textId="55021A04" w:rsidR="00414E90" w:rsidRDefault="00414E90" w:rsidP="00A34256">
      <w:pPr>
        <w:spacing w:after="0"/>
        <w:jc w:val="both"/>
        <w:rPr>
          <w:rFonts w:ascii="Tahoma" w:eastAsia="Calibri" w:hAnsi="Tahoma" w:cs="Tahoma"/>
          <w:sz w:val="24"/>
          <w:szCs w:val="24"/>
        </w:rPr>
      </w:pPr>
      <w:r w:rsidRPr="00414E90">
        <w:rPr>
          <w:rFonts w:ascii="Tahoma" w:eastAsia="Calibri" w:hAnsi="Tahoma" w:cs="Tahoma"/>
          <w:sz w:val="24"/>
          <w:szCs w:val="24"/>
        </w:rPr>
        <w:t xml:space="preserve">Ve světle nedávného vývoje bude evropská výroba určitě čelit vyšším nákladům na energii a vyšším cenám kritických surovin. I kdyby tato narušení neměla být dlouhodobá, je naléhavě nutné zlepšit evropskou odolnost a zajistit alternativní zdroje energie a kritických surovin. Evropští </w:t>
      </w:r>
      <w:r w:rsidR="009806DA">
        <w:rPr>
          <w:rFonts w:ascii="Tahoma" w:eastAsia="Calibri" w:hAnsi="Tahoma" w:cs="Tahoma"/>
          <w:sz w:val="24"/>
          <w:szCs w:val="24"/>
        </w:rPr>
        <w:t xml:space="preserve">politici v součinnosti se zástupci průmyslu </w:t>
      </w:r>
      <w:r w:rsidRPr="00414E90">
        <w:rPr>
          <w:rFonts w:ascii="Tahoma" w:eastAsia="Calibri" w:hAnsi="Tahoma" w:cs="Tahoma"/>
          <w:sz w:val="24"/>
          <w:szCs w:val="24"/>
        </w:rPr>
        <w:t>by proto měli okamžitě začít pracovat na strategii snížení energetické závislosti a vybudovat odolnější dodavatelské řetězce kritických surovin.</w:t>
      </w:r>
    </w:p>
    <w:p w14:paraId="5A77F5BD" w14:textId="77777777" w:rsidR="00CA5C51" w:rsidRPr="00414E90" w:rsidRDefault="00CA5C51" w:rsidP="00A34256">
      <w:pPr>
        <w:spacing w:after="0"/>
        <w:jc w:val="both"/>
        <w:rPr>
          <w:rFonts w:ascii="Tahoma" w:eastAsia="Calibri" w:hAnsi="Tahoma" w:cs="Tahoma"/>
          <w:sz w:val="24"/>
          <w:szCs w:val="24"/>
        </w:rPr>
      </w:pPr>
    </w:p>
    <w:p w14:paraId="7F23E455" w14:textId="5C644548" w:rsidR="00414E90" w:rsidRDefault="00A34256" w:rsidP="00A34256">
      <w:pPr>
        <w:spacing w:after="0"/>
        <w:jc w:val="both"/>
        <w:rPr>
          <w:rFonts w:ascii="Tahoma" w:hAnsi="Tahoma" w:cs="Tahoma"/>
          <w:sz w:val="24"/>
          <w:szCs w:val="24"/>
        </w:rPr>
      </w:pPr>
      <w:hyperlink r:id="rId23" w:history="1">
        <w:r w:rsidR="00CA5C51" w:rsidRPr="009614CF">
          <w:rPr>
            <w:rStyle w:val="Hypertextovodkaz"/>
            <w:rFonts w:ascii="Tahoma" w:hAnsi="Tahoma" w:cs="Tahoma"/>
            <w:sz w:val="24"/>
            <w:szCs w:val="24"/>
          </w:rPr>
          <w:t>www.cecimo.eu</w:t>
        </w:r>
      </w:hyperlink>
      <w:r w:rsidR="00CA5C51">
        <w:rPr>
          <w:rFonts w:ascii="Tahoma" w:hAnsi="Tahoma" w:cs="Tahoma"/>
          <w:sz w:val="24"/>
          <w:szCs w:val="24"/>
        </w:rPr>
        <w:t xml:space="preserve"> </w:t>
      </w:r>
    </w:p>
    <w:p w14:paraId="0DC2B932" w14:textId="02476512" w:rsidR="00A34256" w:rsidRDefault="00A34256" w:rsidP="00A34256">
      <w:pPr>
        <w:spacing w:after="0"/>
        <w:jc w:val="both"/>
        <w:rPr>
          <w:rFonts w:ascii="Tahoma" w:hAnsi="Tahoma" w:cs="Tahoma"/>
          <w:sz w:val="24"/>
          <w:szCs w:val="24"/>
        </w:rPr>
      </w:pPr>
    </w:p>
    <w:p w14:paraId="07FD15F8" w14:textId="134087F1" w:rsidR="00A34256" w:rsidRDefault="00A34256" w:rsidP="00A34256">
      <w:pPr>
        <w:spacing w:after="0"/>
        <w:jc w:val="both"/>
        <w:rPr>
          <w:rFonts w:ascii="Tahoma" w:hAnsi="Tahoma" w:cs="Tahoma"/>
          <w:sz w:val="24"/>
          <w:szCs w:val="24"/>
        </w:rPr>
      </w:pPr>
    </w:p>
    <w:p w14:paraId="2DABDF8A" w14:textId="77777777" w:rsidR="00A34256" w:rsidRDefault="00A34256" w:rsidP="00A34256">
      <w:pPr>
        <w:spacing w:after="0"/>
        <w:jc w:val="both"/>
        <w:rPr>
          <w:rFonts w:ascii="Tahoma" w:hAnsi="Tahoma" w:cs="Tahoma"/>
          <w:sz w:val="24"/>
          <w:szCs w:val="24"/>
        </w:rPr>
      </w:pPr>
    </w:p>
    <w:p w14:paraId="7839E885" w14:textId="12707A64" w:rsidR="00BB0BF4" w:rsidRPr="003F3E37" w:rsidRDefault="003F3E37" w:rsidP="00A34256">
      <w:pPr>
        <w:spacing w:after="0"/>
        <w:rPr>
          <w:rFonts w:ascii="Tahoma" w:eastAsia="Times New Roman" w:hAnsi="Tahoma" w:cs="Tahoma"/>
          <w:b/>
          <w:bCs/>
          <w:sz w:val="24"/>
          <w:szCs w:val="24"/>
        </w:rPr>
      </w:pPr>
      <w:r>
        <w:rPr>
          <w:rFonts w:ascii="Tahoma" w:eastAsia="Times New Roman" w:hAnsi="Tahoma" w:cs="Tahoma"/>
          <w:b/>
          <w:bCs/>
          <w:sz w:val="24"/>
          <w:szCs w:val="24"/>
        </w:rPr>
        <w:t>Ún</w:t>
      </w:r>
      <w:r w:rsidR="0047092F" w:rsidRPr="003F3E37">
        <w:rPr>
          <w:rFonts w:ascii="Tahoma" w:eastAsia="Times New Roman" w:hAnsi="Tahoma" w:cs="Tahoma"/>
          <w:b/>
          <w:bCs/>
          <w:sz w:val="24"/>
          <w:szCs w:val="24"/>
        </w:rPr>
        <w:t>or</w:t>
      </w:r>
      <w:r w:rsidR="00EA0DE5" w:rsidRPr="003F3E37">
        <w:rPr>
          <w:rFonts w:ascii="Tahoma" w:eastAsia="Times New Roman" w:hAnsi="Tahoma" w:cs="Tahoma"/>
          <w:b/>
          <w:bCs/>
          <w:sz w:val="24"/>
          <w:szCs w:val="24"/>
        </w:rPr>
        <w:t xml:space="preserve"> </w:t>
      </w:r>
      <w:r w:rsidR="00414E90">
        <w:rPr>
          <w:rFonts w:ascii="Tahoma" w:eastAsia="Times New Roman" w:hAnsi="Tahoma" w:cs="Tahoma"/>
          <w:b/>
          <w:bCs/>
          <w:sz w:val="24"/>
          <w:szCs w:val="24"/>
        </w:rPr>
        <w:t xml:space="preserve">– březen </w:t>
      </w:r>
      <w:r w:rsidR="00EA0DE5" w:rsidRPr="003F3E37">
        <w:rPr>
          <w:rFonts w:ascii="Tahoma" w:eastAsia="Times New Roman" w:hAnsi="Tahoma" w:cs="Tahoma"/>
          <w:b/>
          <w:bCs/>
          <w:sz w:val="24"/>
          <w:szCs w:val="24"/>
        </w:rPr>
        <w:t>202</w:t>
      </w:r>
      <w:r w:rsidR="0047092F" w:rsidRPr="003F3E37">
        <w:rPr>
          <w:rFonts w:ascii="Tahoma" w:eastAsia="Times New Roman" w:hAnsi="Tahoma" w:cs="Tahoma"/>
          <w:b/>
          <w:bCs/>
          <w:sz w:val="24"/>
          <w:szCs w:val="24"/>
        </w:rPr>
        <w:t>2</w:t>
      </w:r>
    </w:p>
    <w:p w14:paraId="0FF31DD5" w14:textId="35AB882A" w:rsidR="00BC25A2" w:rsidRDefault="00BC25A2" w:rsidP="00A34256">
      <w:pPr>
        <w:spacing w:after="0"/>
        <w:rPr>
          <w:rFonts w:ascii="Tahoma" w:eastAsia="Times New Roman" w:hAnsi="Tahoma" w:cs="Tahoma"/>
          <w:b/>
          <w:bCs/>
          <w:sz w:val="24"/>
          <w:szCs w:val="24"/>
        </w:rPr>
      </w:pPr>
    </w:p>
    <w:p w14:paraId="109378FB" w14:textId="77777777" w:rsidR="00A34256" w:rsidRDefault="00A34256" w:rsidP="00A34256">
      <w:pPr>
        <w:spacing w:after="0"/>
        <w:rPr>
          <w:rFonts w:ascii="Tahoma" w:eastAsia="Times New Roman" w:hAnsi="Tahoma" w:cs="Tahoma"/>
          <w:b/>
          <w:bCs/>
          <w:sz w:val="24"/>
          <w:szCs w:val="24"/>
        </w:rPr>
      </w:pPr>
    </w:p>
    <w:p w14:paraId="11FCB04A" w14:textId="50B37743" w:rsidR="00EA0DE5" w:rsidRPr="00BC25A2" w:rsidRDefault="00EA0DE5" w:rsidP="00A34256">
      <w:pPr>
        <w:spacing w:after="0"/>
        <w:rPr>
          <w:rFonts w:ascii="Tahoma" w:eastAsia="Times New Roman" w:hAnsi="Tahoma" w:cs="Tahoma"/>
          <w:b/>
          <w:bCs/>
          <w:sz w:val="24"/>
          <w:szCs w:val="24"/>
        </w:rPr>
      </w:pPr>
      <w:r w:rsidRPr="00BC25A2">
        <w:rPr>
          <w:rFonts w:ascii="Tahoma" w:eastAsia="Times New Roman" w:hAnsi="Tahoma" w:cs="Tahoma"/>
          <w:b/>
          <w:bCs/>
          <w:sz w:val="24"/>
          <w:szCs w:val="24"/>
        </w:rPr>
        <w:t>PhDr. Blanka Markovičová, CSc.</w:t>
      </w:r>
      <w:r w:rsidR="003D0C21" w:rsidRPr="00BC25A2">
        <w:rPr>
          <w:rFonts w:ascii="Tahoma" w:eastAsia="Times New Roman" w:hAnsi="Tahoma" w:cs="Tahoma"/>
          <w:b/>
          <w:bCs/>
          <w:sz w:val="24"/>
          <w:szCs w:val="24"/>
        </w:rPr>
        <w:t>, tisková mluvčí Svazu strojírenské technologie</w:t>
      </w:r>
    </w:p>
    <w:sectPr w:rsidR="00EA0DE5" w:rsidRPr="00BC25A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6F9A" w14:textId="77777777" w:rsidR="007A6E02" w:rsidRDefault="007A6E02" w:rsidP="003E6F37">
      <w:pPr>
        <w:spacing w:after="0" w:line="240" w:lineRule="auto"/>
      </w:pPr>
      <w:r>
        <w:separator/>
      </w:r>
    </w:p>
  </w:endnote>
  <w:endnote w:type="continuationSeparator" w:id="0">
    <w:p w14:paraId="4745030E" w14:textId="77777777" w:rsidR="007A6E02" w:rsidRDefault="007A6E02" w:rsidP="003E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31B9" w14:textId="0DE25FA1" w:rsidR="009D0C59" w:rsidRDefault="00A34256" w:rsidP="00730D19">
    <w:pPr>
      <w:pStyle w:val="Zpat"/>
      <w:tabs>
        <w:tab w:val="clear" w:pos="4536"/>
        <w:tab w:val="clear" w:pos="9072"/>
        <w:tab w:val="left" w:pos="7800"/>
      </w:tabs>
    </w:pPr>
    <w:sdt>
      <w:sdtPr>
        <w:id w:val="1257165741"/>
        <w:docPartObj>
          <w:docPartGallery w:val="Page Numbers (Bottom of Page)"/>
          <w:docPartUnique/>
        </w:docPartObj>
      </w:sdtPr>
      <w:sdtEndPr/>
      <w:sdtContent>
        <w:r w:rsidR="009D0C59">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76574D56" wp14:editId="0E3EE24B">
                  <wp:simplePos x="0" y="0"/>
                  <wp:positionH relativeFrom="rightMargin">
                    <wp:align>center</wp:align>
                  </wp:positionH>
                  <wp:positionV relativeFrom="bottomMargin">
                    <wp:align>center</wp:align>
                  </wp:positionV>
                  <wp:extent cx="512445" cy="441325"/>
                  <wp:effectExtent l="0" t="0" r="1905" b="0"/>
                  <wp:wrapNone/>
                  <wp:docPr id="52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D7C0913" w14:textId="77777777" w:rsidR="009D0C59" w:rsidRDefault="009D0C59">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6F65DD" w:rsidRPr="006F65DD">
                                <w:rPr>
                                  <w:noProof/>
                                  <w:sz w:val="28"/>
                                  <w:szCs w:val="28"/>
                                </w:rPr>
                                <w:t>11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74D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BVSfLTkAQAAogMAAA4AAAAAAAAAAAAAAAAALgIAAGRycy9lMm9Eb2MueG1sUEsBAi0AFAAG&#10;AAgAAAAhABrkTJ3ZAAAAAwEAAA8AAAAAAAAAAAAAAAAAPgQAAGRycy9kb3ducmV2LnhtbFBLBQYA&#10;AAAABAAEAPMAAABEBQAAAAA=&#10;" filled="f" fillcolor="#5c83b4" stroked="f" strokecolor="#737373">
                  <v:textbox>
                    <w:txbxContent>
                      <w:p w14:paraId="1D7C0913" w14:textId="77777777" w:rsidR="009D0C59" w:rsidRDefault="009D0C59">
                        <w:pPr>
                          <w:pStyle w:val="Zpat"/>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6F65DD" w:rsidRPr="006F65DD">
                          <w:rPr>
                            <w:noProof/>
                            <w:sz w:val="28"/>
                            <w:szCs w:val="28"/>
                          </w:rPr>
                          <w:t>11</w:t>
                        </w:r>
                        <w:r>
                          <w:rPr>
                            <w:sz w:val="28"/>
                            <w:szCs w:val="28"/>
                          </w:rPr>
                          <w:fldChar w:fldCharType="end"/>
                        </w:r>
                      </w:p>
                    </w:txbxContent>
                  </v:textbox>
                  <w10:wrap anchorx="margin" anchory="margin"/>
                </v:shape>
              </w:pict>
            </mc:Fallback>
          </mc:AlternateContent>
        </w:r>
      </w:sdtContent>
    </w:sdt>
    <w:r w:rsidR="00730D1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0416" w14:textId="77777777" w:rsidR="007A6E02" w:rsidRDefault="007A6E02" w:rsidP="003E6F37">
      <w:pPr>
        <w:spacing w:after="0" w:line="240" w:lineRule="auto"/>
      </w:pPr>
      <w:r>
        <w:separator/>
      </w:r>
    </w:p>
  </w:footnote>
  <w:footnote w:type="continuationSeparator" w:id="0">
    <w:p w14:paraId="73ED4374" w14:textId="77777777" w:rsidR="007A6E02" w:rsidRDefault="007A6E02" w:rsidP="003E6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BE8"/>
    <w:multiLevelType w:val="hybridMultilevel"/>
    <w:tmpl w:val="9BF0E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A33607"/>
    <w:multiLevelType w:val="hybridMultilevel"/>
    <w:tmpl w:val="ABE2A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C1667D"/>
    <w:multiLevelType w:val="hybridMultilevel"/>
    <w:tmpl w:val="41780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882F39"/>
    <w:multiLevelType w:val="hybridMultilevel"/>
    <w:tmpl w:val="DE946D64"/>
    <w:lvl w:ilvl="0" w:tplc="04050001">
      <w:start w:val="1"/>
      <w:numFmt w:val="bullet"/>
      <w:lvlText w:val=""/>
      <w:lvlJc w:val="left"/>
      <w:pPr>
        <w:ind w:left="805" w:hanging="360"/>
      </w:pPr>
      <w:rPr>
        <w:rFonts w:ascii="Symbol" w:hAnsi="Symbol" w:hint="default"/>
      </w:rPr>
    </w:lvl>
    <w:lvl w:ilvl="1" w:tplc="04050003" w:tentative="1">
      <w:start w:val="1"/>
      <w:numFmt w:val="bullet"/>
      <w:lvlText w:val="o"/>
      <w:lvlJc w:val="left"/>
      <w:pPr>
        <w:ind w:left="1525" w:hanging="360"/>
      </w:pPr>
      <w:rPr>
        <w:rFonts w:ascii="Courier New" w:hAnsi="Courier New" w:cs="Courier New" w:hint="default"/>
      </w:rPr>
    </w:lvl>
    <w:lvl w:ilvl="2" w:tplc="04050005" w:tentative="1">
      <w:start w:val="1"/>
      <w:numFmt w:val="bullet"/>
      <w:lvlText w:val=""/>
      <w:lvlJc w:val="left"/>
      <w:pPr>
        <w:ind w:left="2245" w:hanging="360"/>
      </w:pPr>
      <w:rPr>
        <w:rFonts w:ascii="Wingdings" w:hAnsi="Wingdings" w:hint="default"/>
      </w:rPr>
    </w:lvl>
    <w:lvl w:ilvl="3" w:tplc="04050001" w:tentative="1">
      <w:start w:val="1"/>
      <w:numFmt w:val="bullet"/>
      <w:lvlText w:val=""/>
      <w:lvlJc w:val="left"/>
      <w:pPr>
        <w:ind w:left="2965" w:hanging="360"/>
      </w:pPr>
      <w:rPr>
        <w:rFonts w:ascii="Symbol" w:hAnsi="Symbol" w:hint="default"/>
      </w:rPr>
    </w:lvl>
    <w:lvl w:ilvl="4" w:tplc="04050003" w:tentative="1">
      <w:start w:val="1"/>
      <w:numFmt w:val="bullet"/>
      <w:lvlText w:val="o"/>
      <w:lvlJc w:val="left"/>
      <w:pPr>
        <w:ind w:left="3685" w:hanging="360"/>
      </w:pPr>
      <w:rPr>
        <w:rFonts w:ascii="Courier New" w:hAnsi="Courier New" w:cs="Courier New" w:hint="default"/>
      </w:rPr>
    </w:lvl>
    <w:lvl w:ilvl="5" w:tplc="04050005" w:tentative="1">
      <w:start w:val="1"/>
      <w:numFmt w:val="bullet"/>
      <w:lvlText w:val=""/>
      <w:lvlJc w:val="left"/>
      <w:pPr>
        <w:ind w:left="4405" w:hanging="360"/>
      </w:pPr>
      <w:rPr>
        <w:rFonts w:ascii="Wingdings" w:hAnsi="Wingdings" w:hint="default"/>
      </w:rPr>
    </w:lvl>
    <w:lvl w:ilvl="6" w:tplc="04050001" w:tentative="1">
      <w:start w:val="1"/>
      <w:numFmt w:val="bullet"/>
      <w:lvlText w:val=""/>
      <w:lvlJc w:val="left"/>
      <w:pPr>
        <w:ind w:left="5125" w:hanging="360"/>
      </w:pPr>
      <w:rPr>
        <w:rFonts w:ascii="Symbol" w:hAnsi="Symbol" w:hint="default"/>
      </w:rPr>
    </w:lvl>
    <w:lvl w:ilvl="7" w:tplc="04050003" w:tentative="1">
      <w:start w:val="1"/>
      <w:numFmt w:val="bullet"/>
      <w:lvlText w:val="o"/>
      <w:lvlJc w:val="left"/>
      <w:pPr>
        <w:ind w:left="5845" w:hanging="360"/>
      </w:pPr>
      <w:rPr>
        <w:rFonts w:ascii="Courier New" w:hAnsi="Courier New" w:cs="Courier New" w:hint="default"/>
      </w:rPr>
    </w:lvl>
    <w:lvl w:ilvl="8" w:tplc="04050005" w:tentative="1">
      <w:start w:val="1"/>
      <w:numFmt w:val="bullet"/>
      <w:lvlText w:val=""/>
      <w:lvlJc w:val="left"/>
      <w:pPr>
        <w:ind w:left="6565" w:hanging="360"/>
      </w:pPr>
      <w:rPr>
        <w:rFonts w:ascii="Wingdings" w:hAnsi="Wingdings" w:hint="default"/>
      </w:rPr>
    </w:lvl>
  </w:abstractNum>
  <w:abstractNum w:abstractNumId="4" w15:restartNumberingAfterBreak="0">
    <w:nsid w:val="081828AA"/>
    <w:multiLevelType w:val="hybridMultilevel"/>
    <w:tmpl w:val="8D989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953B69"/>
    <w:multiLevelType w:val="hybridMultilevel"/>
    <w:tmpl w:val="B9EE93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3833D0"/>
    <w:multiLevelType w:val="hybridMultilevel"/>
    <w:tmpl w:val="E154E7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F6758D"/>
    <w:multiLevelType w:val="hybridMultilevel"/>
    <w:tmpl w:val="790C217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FD51A3C"/>
    <w:multiLevelType w:val="hybridMultilevel"/>
    <w:tmpl w:val="4D66C6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8996C56"/>
    <w:multiLevelType w:val="hybridMultilevel"/>
    <w:tmpl w:val="C5C237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18614B"/>
    <w:multiLevelType w:val="hybridMultilevel"/>
    <w:tmpl w:val="EB1E8B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A2B1207"/>
    <w:multiLevelType w:val="hybridMultilevel"/>
    <w:tmpl w:val="85A6C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33D7C"/>
    <w:multiLevelType w:val="hybridMultilevel"/>
    <w:tmpl w:val="799AAF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156EE2"/>
    <w:multiLevelType w:val="hybridMultilevel"/>
    <w:tmpl w:val="699640D2"/>
    <w:lvl w:ilvl="0" w:tplc="04050001">
      <w:start w:val="1"/>
      <w:numFmt w:val="bullet"/>
      <w:lvlText w:val=""/>
      <w:lvlJc w:val="left"/>
      <w:pPr>
        <w:ind w:left="502" w:hanging="360"/>
      </w:pPr>
      <w:rPr>
        <w:rFonts w:ascii="Symbol" w:hAnsi="Symbol" w:hint="default"/>
      </w:rPr>
    </w:lvl>
    <w:lvl w:ilvl="1" w:tplc="30BE5F24">
      <w:numFmt w:val="bullet"/>
      <w:lvlText w:val="•"/>
      <w:lvlJc w:val="left"/>
      <w:pPr>
        <w:ind w:left="1785" w:hanging="705"/>
      </w:pPr>
      <w:rPr>
        <w:rFonts w:ascii="Tahoma" w:eastAsiaTheme="minorHAns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D207BF0"/>
    <w:multiLevelType w:val="hybridMultilevel"/>
    <w:tmpl w:val="D77E96AE"/>
    <w:lvl w:ilvl="0" w:tplc="CDEC7214">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A2C082E"/>
    <w:multiLevelType w:val="hybridMultilevel"/>
    <w:tmpl w:val="A6BC2AE4"/>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D4CFE"/>
    <w:multiLevelType w:val="hybridMultilevel"/>
    <w:tmpl w:val="FFD43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85723E"/>
    <w:multiLevelType w:val="hybridMultilevel"/>
    <w:tmpl w:val="EA626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1B3BCD"/>
    <w:multiLevelType w:val="hybridMultilevel"/>
    <w:tmpl w:val="55228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CA5DC0"/>
    <w:multiLevelType w:val="hybridMultilevel"/>
    <w:tmpl w:val="907668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125651"/>
    <w:multiLevelType w:val="hybridMultilevel"/>
    <w:tmpl w:val="B6FC68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F07CB7"/>
    <w:multiLevelType w:val="hybridMultilevel"/>
    <w:tmpl w:val="88BAB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1555C2"/>
    <w:multiLevelType w:val="hybridMultilevel"/>
    <w:tmpl w:val="60842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6CC0CE3"/>
    <w:multiLevelType w:val="hybridMultilevel"/>
    <w:tmpl w:val="0C465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95B43E6"/>
    <w:multiLevelType w:val="hybridMultilevel"/>
    <w:tmpl w:val="10AC053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9EB51B1"/>
    <w:multiLevelType w:val="hybridMultilevel"/>
    <w:tmpl w:val="94167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0D3B86"/>
    <w:multiLevelType w:val="hybridMultilevel"/>
    <w:tmpl w:val="86FE4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DD74DF"/>
    <w:multiLevelType w:val="hybridMultilevel"/>
    <w:tmpl w:val="64E41598"/>
    <w:lvl w:ilvl="0" w:tplc="88EAE890">
      <w:numFmt w:val="bullet"/>
      <w:lvlText w:val="•"/>
      <w:lvlJc w:val="left"/>
      <w:pPr>
        <w:ind w:left="780" w:hanging="42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945805"/>
    <w:multiLevelType w:val="hybridMultilevel"/>
    <w:tmpl w:val="BA2EEE3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CF7AC6"/>
    <w:multiLevelType w:val="hybridMultilevel"/>
    <w:tmpl w:val="B1C8C8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2B3016"/>
    <w:multiLevelType w:val="hybridMultilevel"/>
    <w:tmpl w:val="4CAA65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4FD0042"/>
    <w:multiLevelType w:val="hybridMultilevel"/>
    <w:tmpl w:val="12385F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20371D"/>
    <w:multiLevelType w:val="hybridMultilevel"/>
    <w:tmpl w:val="904E9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E76F3D"/>
    <w:multiLevelType w:val="hybridMultilevel"/>
    <w:tmpl w:val="6A9A1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FE5DA6"/>
    <w:multiLevelType w:val="hybridMultilevel"/>
    <w:tmpl w:val="DB0E2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B206B6E"/>
    <w:multiLevelType w:val="hybridMultilevel"/>
    <w:tmpl w:val="1BCCE6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0D3947"/>
    <w:multiLevelType w:val="hybridMultilevel"/>
    <w:tmpl w:val="4B6023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364669"/>
    <w:multiLevelType w:val="hybridMultilevel"/>
    <w:tmpl w:val="BAC25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176A52"/>
    <w:multiLevelType w:val="hybridMultilevel"/>
    <w:tmpl w:val="EFF0654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3E47C5"/>
    <w:multiLevelType w:val="hybridMultilevel"/>
    <w:tmpl w:val="4D0EAB3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AA4BCA"/>
    <w:multiLevelType w:val="hybridMultilevel"/>
    <w:tmpl w:val="A71095C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6C53D42"/>
    <w:multiLevelType w:val="hybridMultilevel"/>
    <w:tmpl w:val="B7280E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BC475A"/>
    <w:multiLevelType w:val="hybridMultilevel"/>
    <w:tmpl w:val="FE162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
  </w:num>
  <w:num w:numId="4">
    <w:abstractNumId w:val="0"/>
  </w:num>
  <w:num w:numId="5">
    <w:abstractNumId w:val="38"/>
  </w:num>
  <w:num w:numId="6">
    <w:abstractNumId w:val="17"/>
  </w:num>
  <w:num w:numId="7">
    <w:abstractNumId w:val="34"/>
  </w:num>
  <w:num w:numId="8">
    <w:abstractNumId w:val="3"/>
  </w:num>
  <w:num w:numId="9">
    <w:abstractNumId w:val="20"/>
  </w:num>
  <w:num w:numId="10">
    <w:abstractNumId w:val="32"/>
  </w:num>
  <w:num w:numId="11">
    <w:abstractNumId w:val="28"/>
  </w:num>
  <w:num w:numId="12">
    <w:abstractNumId w:val="12"/>
  </w:num>
  <w:num w:numId="13">
    <w:abstractNumId w:val="27"/>
  </w:num>
  <w:num w:numId="14">
    <w:abstractNumId w:val="41"/>
  </w:num>
  <w:num w:numId="15">
    <w:abstractNumId w:val="13"/>
  </w:num>
  <w:num w:numId="16">
    <w:abstractNumId w:val="40"/>
  </w:num>
  <w:num w:numId="17">
    <w:abstractNumId w:val="7"/>
  </w:num>
  <w:num w:numId="18">
    <w:abstractNumId w:val="6"/>
  </w:num>
  <w:num w:numId="19">
    <w:abstractNumId w:val="1"/>
  </w:num>
  <w:num w:numId="20">
    <w:abstractNumId w:val="36"/>
  </w:num>
  <w:num w:numId="21">
    <w:abstractNumId w:val="42"/>
  </w:num>
  <w:num w:numId="22">
    <w:abstractNumId w:val="26"/>
  </w:num>
  <w:num w:numId="23">
    <w:abstractNumId w:val="31"/>
  </w:num>
  <w:num w:numId="24">
    <w:abstractNumId w:val="29"/>
  </w:num>
  <w:num w:numId="25">
    <w:abstractNumId w:val="9"/>
  </w:num>
  <w:num w:numId="26">
    <w:abstractNumId w:val="24"/>
  </w:num>
  <w:num w:numId="27">
    <w:abstractNumId w:val="8"/>
  </w:num>
  <w:num w:numId="28">
    <w:abstractNumId w:val="10"/>
  </w:num>
  <w:num w:numId="29">
    <w:abstractNumId w:val="30"/>
  </w:num>
  <w:num w:numId="30">
    <w:abstractNumId w:val="25"/>
  </w:num>
  <w:num w:numId="31">
    <w:abstractNumId w:val="21"/>
  </w:num>
  <w:num w:numId="32">
    <w:abstractNumId w:val="14"/>
  </w:num>
  <w:num w:numId="33">
    <w:abstractNumId w:val="37"/>
  </w:num>
  <w:num w:numId="34">
    <w:abstractNumId w:val="39"/>
  </w:num>
  <w:num w:numId="35">
    <w:abstractNumId w:val="5"/>
  </w:num>
  <w:num w:numId="36">
    <w:abstractNumId w:val="19"/>
  </w:num>
  <w:num w:numId="37">
    <w:abstractNumId w:val="35"/>
  </w:num>
  <w:num w:numId="38">
    <w:abstractNumId w:val="18"/>
  </w:num>
  <w:num w:numId="39">
    <w:abstractNumId w:val="23"/>
  </w:num>
  <w:num w:numId="40">
    <w:abstractNumId w:val="2"/>
  </w:num>
  <w:num w:numId="41">
    <w:abstractNumId w:val="11"/>
  </w:num>
  <w:num w:numId="42">
    <w:abstractNumId w:val="33"/>
  </w:num>
  <w:num w:numId="4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60"/>
    <w:rsid w:val="0000187A"/>
    <w:rsid w:val="00002194"/>
    <w:rsid w:val="00016459"/>
    <w:rsid w:val="000173A5"/>
    <w:rsid w:val="00032832"/>
    <w:rsid w:val="00035851"/>
    <w:rsid w:val="00037836"/>
    <w:rsid w:val="000462CA"/>
    <w:rsid w:val="000710F6"/>
    <w:rsid w:val="000802BA"/>
    <w:rsid w:val="00085C60"/>
    <w:rsid w:val="00087F5E"/>
    <w:rsid w:val="000C4632"/>
    <w:rsid w:val="000C5900"/>
    <w:rsid w:val="000D7508"/>
    <w:rsid w:val="000D7913"/>
    <w:rsid w:val="000E0740"/>
    <w:rsid w:val="000E2532"/>
    <w:rsid w:val="00100567"/>
    <w:rsid w:val="0011189F"/>
    <w:rsid w:val="00113175"/>
    <w:rsid w:val="00114745"/>
    <w:rsid w:val="00116EBE"/>
    <w:rsid w:val="00116F17"/>
    <w:rsid w:val="00125A13"/>
    <w:rsid w:val="001322D9"/>
    <w:rsid w:val="00161A83"/>
    <w:rsid w:val="001626B6"/>
    <w:rsid w:val="001710CB"/>
    <w:rsid w:val="001831A9"/>
    <w:rsid w:val="00186A34"/>
    <w:rsid w:val="00193DA2"/>
    <w:rsid w:val="001A3F1B"/>
    <w:rsid w:val="001C0929"/>
    <w:rsid w:val="001D08E1"/>
    <w:rsid w:val="001D584D"/>
    <w:rsid w:val="001E08FE"/>
    <w:rsid w:val="001E2790"/>
    <w:rsid w:val="001F4CB5"/>
    <w:rsid w:val="002357B5"/>
    <w:rsid w:val="002441D4"/>
    <w:rsid w:val="0026243F"/>
    <w:rsid w:val="00262D17"/>
    <w:rsid w:val="00270C7F"/>
    <w:rsid w:val="0027628E"/>
    <w:rsid w:val="00280F34"/>
    <w:rsid w:val="0029301B"/>
    <w:rsid w:val="00295791"/>
    <w:rsid w:val="002A15D5"/>
    <w:rsid w:val="002A4373"/>
    <w:rsid w:val="002A7908"/>
    <w:rsid w:val="002C7C2C"/>
    <w:rsid w:val="002D11A5"/>
    <w:rsid w:val="002E157C"/>
    <w:rsid w:val="002F1946"/>
    <w:rsid w:val="002F73A5"/>
    <w:rsid w:val="002F7B70"/>
    <w:rsid w:val="003104A1"/>
    <w:rsid w:val="00347120"/>
    <w:rsid w:val="003655BE"/>
    <w:rsid w:val="00367042"/>
    <w:rsid w:val="00367D91"/>
    <w:rsid w:val="00376650"/>
    <w:rsid w:val="00381F03"/>
    <w:rsid w:val="00390C7D"/>
    <w:rsid w:val="003A013E"/>
    <w:rsid w:val="003D0C21"/>
    <w:rsid w:val="003E394D"/>
    <w:rsid w:val="003E6F37"/>
    <w:rsid w:val="003F39E5"/>
    <w:rsid w:val="003F3E37"/>
    <w:rsid w:val="003F4240"/>
    <w:rsid w:val="003F5031"/>
    <w:rsid w:val="00413239"/>
    <w:rsid w:val="00413AD7"/>
    <w:rsid w:val="00414E90"/>
    <w:rsid w:val="004163E8"/>
    <w:rsid w:val="00417D9F"/>
    <w:rsid w:val="00421C84"/>
    <w:rsid w:val="0042593E"/>
    <w:rsid w:val="004656FF"/>
    <w:rsid w:val="0047092F"/>
    <w:rsid w:val="004948CB"/>
    <w:rsid w:val="00497C99"/>
    <w:rsid w:val="004B3ADF"/>
    <w:rsid w:val="004B7F61"/>
    <w:rsid w:val="004C38B0"/>
    <w:rsid w:val="004D0929"/>
    <w:rsid w:val="004E7525"/>
    <w:rsid w:val="00514553"/>
    <w:rsid w:val="005257BE"/>
    <w:rsid w:val="0054526C"/>
    <w:rsid w:val="00545E0F"/>
    <w:rsid w:val="00550459"/>
    <w:rsid w:val="00552404"/>
    <w:rsid w:val="00565D98"/>
    <w:rsid w:val="00572980"/>
    <w:rsid w:val="00575AD9"/>
    <w:rsid w:val="00577257"/>
    <w:rsid w:val="00581419"/>
    <w:rsid w:val="005B2F52"/>
    <w:rsid w:val="005B7786"/>
    <w:rsid w:val="005C0214"/>
    <w:rsid w:val="005C31B1"/>
    <w:rsid w:val="005C405C"/>
    <w:rsid w:val="005D28C3"/>
    <w:rsid w:val="005E1FD7"/>
    <w:rsid w:val="006304F0"/>
    <w:rsid w:val="00630CFA"/>
    <w:rsid w:val="0064015C"/>
    <w:rsid w:val="0067027E"/>
    <w:rsid w:val="006766DD"/>
    <w:rsid w:val="00690792"/>
    <w:rsid w:val="006A1543"/>
    <w:rsid w:val="006B1169"/>
    <w:rsid w:val="006B3D29"/>
    <w:rsid w:val="006C1492"/>
    <w:rsid w:val="006D6CA9"/>
    <w:rsid w:val="006D7EDB"/>
    <w:rsid w:val="006E0E5C"/>
    <w:rsid w:val="006E6F47"/>
    <w:rsid w:val="006F5553"/>
    <w:rsid w:val="006F65DD"/>
    <w:rsid w:val="00713F56"/>
    <w:rsid w:val="00716958"/>
    <w:rsid w:val="007275F4"/>
    <w:rsid w:val="00730D19"/>
    <w:rsid w:val="007313CE"/>
    <w:rsid w:val="00733C04"/>
    <w:rsid w:val="00741776"/>
    <w:rsid w:val="00741BA2"/>
    <w:rsid w:val="00782A42"/>
    <w:rsid w:val="00783356"/>
    <w:rsid w:val="007958D9"/>
    <w:rsid w:val="00797633"/>
    <w:rsid w:val="007A2310"/>
    <w:rsid w:val="007A6E02"/>
    <w:rsid w:val="007B066A"/>
    <w:rsid w:val="007C7FED"/>
    <w:rsid w:val="007F0595"/>
    <w:rsid w:val="007F0C4F"/>
    <w:rsid w:val="007F3B86"/>
    <w:rsid w:val="007F3FBA"/>
    <w:rsid w:val="007F50BC"/>
    <w:rsid w:val="00805866"/>
    <w:rsid w:val="008145A6"/>
    <w:rsid w:val="0082109E"/>
    <w:rsid w:val="0082787D"/>
    <w:rsid w:val="00834AAC"/>
    <w:rsid w:val="008404C2"/>
    <w:rsid w:val="00840755"/>
    <w:rsid w:val="00851D78"/>
    <w:rsid w:val="008530DF"/>
    <w:rsid w:val="008555E4"/>
    <w:rsid w:val="00872E70"/>
    <w:rsid w:val="00887753"/>
    <w:rsid w:val="00891FC1"/>
    <w:rsid w:val="008B0B3A"/>
    <w:rsid w:val="008B7E24"/>
    <w:rsid w:val="008C38DA"/>
    <w:rsid w:val="008E3148"/>
    <w:rsid w:val="008F6FC1"/>
    <w:rsid w:val="009057FE"/>
    <w:rsid w:val="0091154B"/>
    <w:rsid w:val="00911A46"/>
    <w:rsid w:val="00920982"/>
    <w:rsid w:val="00921931"/>
    <w:rsid w:val="00935A07"/>
    <w:rsid w:val="0094025A"/>
    <w:rsid w:val="00956BCC"/>
    <w:rsid w:val="0096026D"/>
    <w:rsid w:val="0096123C"/>
    <w:rsid w:val="009741B8"/>
    <w:rsid w:val="009806DA"/>
    <w:rsid w:val="009825E8"/>
    <w:rsid w:val="00990C29"/>
    <w:rsid w:val="00991B69"/>
    <w:rsid w:val="009A1083"/>
    <w:rsid w:val="009B282B"/>
    <w:rsid w:val="009B34B2"/>
    <w:rsid w:val="009D0C59"/>
    <w:rsid w:val="009E0DC6"/>
    <w:rsid w:val="009E216E"/>
    <w:rsid w:val="009F13E2"/>
    <w:rsid w:val="009F3160"/>
    <w:rsid w:val="009F587F"/>
    <w:rsid w:val="00A1082C"/>
    <w:rsid w:val="00A34256"/>
    <w:rsid w:val="00A3537F"/>
    <w:rsid w:val="00A47383"/>
    <w:rsid w:val="00A64E70"/>
    <w:rsid w:val="00A863AE"/>
    <w:rsid w:val="00AA49C8"/>
    <w:rsid w:val="00AC2F3F"/>
    <w:rsid w:val="00AE06E2"/>
    <w:rsid w:val="00AE7A56"/>
    <w:rsid w:val="00AF2B9F"/>
    <w:rsid w:val="00AF40B3"/>
    <w:rsid w:val="00B00FD5"/>
    <w:rsid w:val="00B049D6"/>
    <w:rsid w:val="00B127C0"/>
    <w:rsid w:val="00B17788"/>
    <w:rsid w:val="00B21F72"/>
    <w:rsid w:val="00B268CD"/>
    <w:rsid w:val="00B643C7"/>
    <w:rsid w:val="00B70120"/>
    <w:rsid w:val="00B87A28"/>
    <w:rsid w:val="00BA2D68"/>
    <w:rsid w:val="00BB0BF4"/>
    <w:rsid w:val="00BC25A2"/>
    <w:rsid w:val="00BD0BE7"/>
    <w:rsid w:val="00BD5025"/>
    <w:rsid w:val="00BE1BF4"/>
    <w:rsid w:val="00BE41FD"/>
    <w:rsid w:val="00BE710E"/>
    <w:rsid w:val="00BF14D2"/>
    <w:rsid w:val="00BF70DD"/>
    <w:rsid w:val="00C046F8"/>
    <w:rsid w:val="00C42A2B"/>
    <w:rsid w:val="00C514F4"/>
    <w:rsid w:val="00C54AE1"/>
    <w:rsid w:val="00C70D44"/>
    <w:rsid w:val="00C83171"/>
    <w:rsid w:val="00C93FD6"/>
    <w:rsid w:val="00CA195F"/>
    <w:rsid w:val="00CA5C51"/>
    <w:rsid w:val="00CB0154"/>
    <w:rsid w:val="00CB0FB7"/>
    <w:rsid w:val="00CB3176"/>
    <w:rsid w:val="00CB3DF9"/>
    <w:rsid w:val="00CB6EB4"/>
    <w:rsid w:val="00CB7071"/>
    <w:rsid w:val="00CC07E2"/>
    <w:rsid w:val="00CC234F"/>
    <w:rsid w:val="00CC2EC0"/>
    <w:rsid w:val="00CD3836"/>
    <w:rsid w:val="00CF3AB3"/>
    <w:rsid w:val="00D057BF"/>
    <w:rsid w:val="00D639FC"/>
    <w:rsid w:val="00D8060B"/>
    <w:rsid w:val="00D82483"/>
    <w:rsid w:val="00D95014"/>
    <w:rsid w:val="00DA4646"/>
    <w:rsid w:val="00DB4266"/>
    <w:rsid w:val="00DB514E"/>
    <w:rsid w:val="00DB6187"/>
    <w:rsid w:val="00DC5EA7"/>
    <w:rsid w:val="00DD0D53"/>
    <w:rsid w:val="00DD1647"/>
    <w:rsid w:val="00DE20D6"/>
    <w:rsid w:val="00DE4CFB"/>
    <w:rsid w:val="00DE7EE8"/>
    <w:rsid w:val="00DF083D"/>
    <w:rsid w:val="00DF5B5B"/>
    <w:rsid w:val="00DF7976"/>
    <w:rsid w:val="00E10B1C"/>
    <w:rsid w:val="00E21FE6"/>
    <w:rsid w:val="00E35967"/>
    <w:rsid w:val="00E43B14"/>
    <w:rsid w:val="00E50C5E"/>
    <w:rsid w:val="00E54C29"/>
    <w:rsid w:val="00E648B4"/>
    <w:rsid w:val="00E659DC"/>
    <w:rsid w:val="00E73411"/>
    <w:rsid w:val="00E95A18"/>
    <w:rsid w:val="00E96E40"/>
    <w:rsid w:val="00EA0C29"/>
    <w:rsid w:val="00EA0DE5"/>
    <w:rsid w:val="00EA2A6B"/>
    <w:rsid w:val="00EB1CA4"/>
    <w:rsid w:val="00EB21B7"/>
    <w:rsid w:val="00ED1085"/>
    <w:rsid w:val="00EE0CB6"/>
    <w:rsid w:val="00EE12C3"/>
    <w:rsid w:val="00EE26E4"/>
    <w:rsid w:val="00EE51A6"/>
    <w:rsid w:val="00EE6950"/>
    <w:rsid w:val="00EF315D"/>
    <w:rsid w:val="00F0260A"/>
    <w:rsid w:val="00F319A3"/>
    <w:rsid w:val="00F32D35"/>
    <w:rsid w:val="00F42D04"/>
    <w:rsid w:val="00F64016"/>
    <w:rsid w:val="00F6539D"/>
    <w:rsid w:val="00F67ADA"/>
    <w:rsid w:val="00F759E6"/>
    <w:rsid w:val="00F93F40"/>
    <w:rsid w:val="00F959F4"/>
    <w:rsid w:val="00FB196F"/>
    <w:rsid w:val="00FB30F0"/>
    <w:rsid w:val="00FD25A8"/>
    <w:rsid w:val="00FE30FD"/>
    <w:rsid w:val="00FE6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B6FC9E"/>
  <w15:docId w15:val="{2F28BC3E-BE51-4403-9F8E-0358B79A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E90"/>
  </w:style>
  <w:style w:type="paragraph" w:styleId="Nadpis1">
    <w:name w:val="heading 1"/>
    <w:basedOn w:val="Normln"/>
    <w:link w:val="Nadpis1Char"/>
    <w:uiPriority w:val="9"/>
    <w:qFormat/>
    <w:rsid w:val="000358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7788"/>
    <w:pPr>
      <w:ind w:left="720"/>
      <w:contextualSpacing/>
    </w:pPr>
  </w:style>
  <w:style w:type="paragraph" w:styleId="Zhlav">
    <w:name w:val="header"/>
    <w:basedOn w:val="Normln"/>
    <w:link w:val="ZhlavChar"/>
    <w:uiPriority w:val="99"/>
    <w:unhideWhenUsed/>
    <w:rsid w:val="003E6F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6F37"/>
  </w:style>
  <w:style w:type="paragraph" w:styleId="Zpat">
    <w:name w:val="footer"/>
    <w:basedOn w:val="Normln"/>
    <w:link w:val="ZpatChar"/>
    <w:uiPriority w:val="99"/>
    <w:unhideWhenUsed/>
    <w:rsid w:val="003E6F37"/>
    <w:pPr>
      <w:tabs>
        <w:tab w:val="center" w:pos="4536"/>
        <w:tab w:val="right" w:pos="9072"/>
      </w:tabs>
      <w:spacing w:after="0" w:line="240" w:lineRule="auto"/>
    </w:pPr>
  </w:style>
  <w:style w:type="character" w:customStyle="1" w:styleId="ZpatChar">
    <w:name w:val="Zápatí Char"/>
    <w:basedOn w:val="Standardnpsmoodstavce"/>
    <w:link w:val="Zpat"/>
    <w:uiPriority w:val="99"/>
    <w:rsid w:val="003E6F37"/>
  </w:style>
  <w:style w:type="paragraph" w:styleId="Textbubliny">
    <w:name w:val="Balloon Text"/>
    <w:basedOn w:val="Normln"/>
    <w:link w:val="TextbublinyChar"/>
    <w:uiPriority w:val="99"/>
    <w:semiHidden/>
    <w:unhideWhenUsed/>
    <w:rsid w:val="002624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243F"/>
    <w:rPr>
      <w:rFonts w:ascii="Tahoma" w:hAnsi="Tahoma" w:cs="Tahoma"/>
      <w:sz w:val="16"/>
      <w:szCs w:val="16"/>
    </w:rPr>
  </w:style>
  <w:style w:type="character" w:styleId="Hypertextovodkaz">
    <w:name w:val="Hyperlink"/>
    <w:basedOn w:val="Standardnpsmoodstavce"/>
    <w:uiPriority w:val="99"/>
    <w:unhideWhenUsed/>
    <w:rsid w:val="009B34B2"/>
    <w:rPr>
      <w:color w:val="0000FF" w:themeColor="hyperlink"/>
      <w:u w:val="single"/>
    </w:rPr>
  </w:style>
  <w:style w:type="character" w:customStyle="1" w:styleId="Nadpis1Char">
    <w:name w:val="Nadpis 1 Char"/>
    <w:basedOn w:val="Standardnpsmoodstavce"/>
    <w:link w:val="Nadpis1"/>
    <w:uiPriority w:val="9"/>
    <w:rsid w:val="00035851"/>
    <w:rPr>
      <w:rFonts w:ascii="Times New Roman" w:eastAsia="Times New Roman" w:hAnsi="Times New Roman" w:cs="Times New Roman"/>
      <w:b/>
      <w:bCs/>
      <w:kern w:val="36"/>
      <w:sz w:val="48"/>
      <w:szCs w:val="48"/>
      <w:lang w:eastAsia="cs-CZ"/>
    </w:rPr>
  </w:style>
  <w:style w:type="character" w:customStyle="1" w:styleId="st">
    <w:name w:val="st"/>
    <w:basedOn w:val="Standardnpsmoodstavce"/>
    <w:rsid w:val="00035851"/>
  </w:style>
  <w:style w:type="character" w:styleId="Siln">
    <w:name w:val="Strong"/>
    <w:basedOn w:val="Standardnpsmoodstavce"/>
    <w:uiPriority w:val="22"/>
    <w:qFormat/>
    <w:rsid w:val="00035851"/>
    <w:rPr>
      <w:b/>
      <w:bCs/>
    </w:rPr>
  </w:style>
  <w:style w:type="paragraph" w:styleId="Normlnweb">
    <w:name w:val="Normal (Web)"/>
    <w:basedOn w:val="Normln"/>
    <w:uiPriority w:val="99"/>
    <w:unhideWhenUsed/>
    <w:rsid w:val="002D11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ocabstract">
    <w:name w:val="docabstract"/>
    <w:basedOn w:val="Normln"/>
    <w:rsid w:val="006D7E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E394D"/>
    <w:rPr>
      <w:color w:val="800080" w:themeColor="followedHyperlink"/>
      <w:u w:val="single"/>
    </w:rPr>
  </w:style>
  <w:style w:type="character" w:customStyle="1" w:styleId="cizojazycne">
    <w:name w:val="cizojazycne"/>
    <w:rsid w:val="00BB0BF4"/>
  </w:style>
  <w:style w:type="paragraph" w:customStyle="1" w:styleId="default">
    <w:name w:val="default"/>
    <w:basedOn w:val="Normln"/>
    <w:rsid w:val="006E6F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A4373"/>
    <w:rPr>
      <w:i/>
      <w:iCs/>
    </w:rPr>
  </w:style>
  <w:style w:type="character" w:customStyle="1" w:styleId="Nevyeenzmnka1">
    <w:name w:val="Nevyřešená zmínka1"/>
    <w:basedOn w:val="Standardnpsmoodstavce"/>
    <w:uiPriority w:val="99"/>
    <w:semiHidden/>
    <w:unhideWhenUsed/>
    <w:rsid w:val="00EA2A6B"/>
    <w:rPr>
      <w:color w:val="605E5C"/>
      <w:shd w:val="clear" w:color="auto" w:fill="E1DFDD"/>
    </w:rPr>
  </w:style>
  <w:style w:type="table" w:customStyle="1" w:styleId="Mkatabulky1">
    <w:name w:val="Mřížka tabulky1"/>
    <w:basedOn w:val="Normlntabulka"/>
    <w:next w:val="Mkatabulky"/>
    <w:uiPriority w:val="39"/>
    <w:rsid w:val="0041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41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9149">
      <w:bodyDiv w:val="1"/>
      <w:marLeft w:val="0"/>
      <w:marRight w:val="0"/>
      <w:marTop w:val="0"/>
      <w:marBottom w:val="0"/>
      <w:divBdr>
        <w:top w:val="none" w:sz="0" w:space="0" w:color="auto"/>
        <w:left w:val="none" w:sz="0" w:space="0" w:color="auto"/>
        <w:bottom w:val="none" w:sz="0" w:space="0" w:color="auto"/>
        <w:right w:val="none" w:sz="0" w:space="0" w:color="auto"/>
      </w:divBdr>
    </w:div>
    <w:div w:id="614406737">
      <w:bodyDiv w:val="1"/>
      <w:marLeft w:val="0"/>
      <w:marRight w:val="0"/>
      <w:marTop w:val="0"/>
      <w:marBottom w:val="0"/>
      <w:divBdr>
        <w:top w:val="none" w:sz="0" w:space="0" w:color="auto"/>
        <w:left w:val="none" w:sz="0" w:space="0" w:color="auto"/>
        <w:bottom w:val="none" w:sz="0" w:space="0" w:color="auto"/>
        <w:right w:val="none" w:sz="0" w:space="0" w:color="auto"/>
      </w:divBdr>
    </w:div>
    <w:div w:id="765854480">
      <w:bodyDiv w:val="1"/>
      <w:marLeft w:val="0"/>
      <w:marRight w:val="0"/>
      <w:marTop w:val="0"/>
      <w:marBottom w:val="0"/>
      <w:divBdr>
        <w:top w:val="none" w:sz="0" w:space="0" w:color="auto"/>
        <w:left w:val="none" w:sz="0" w:space="0" w:color="auto"/>
        <w:bottom w:val="none" w:sz="0" w:space="0" w:color="auto"/>
        <w:right w:val="none" w:sz="0" w:space="0" w:color="auto"/>
      </w:divBdr>
    </w:div>
    <w:div w:id="827867444">
      <w:bodyDiv w:val="1"/>
      <w:marLeft w:val="0"/>
      <w:marRight w:val="0"/>
      <w:marTop w:val="0"/>
      <w:marBottom w:val="0"/>
      <w:divBdr>
        <w:top w:val="none" w:sz="0" w:space="0" w:color="auto"/>
        <w:left w:val="none" w:sz="0" w:space="0" w:color="auto"/>
        <w:bottom w:val="none" w:sz="0" w:space="0" w:color="auto"/>
        <w:right w:val="none" w:sz="0" w:space="0" w:color="auto"/>
      </w:divBdr>
    </w:div>
    <w:div w:id="842890008">
      <w:bodyDiv w:val="1"/>
      <w:marLeft w:val="0"/>
      <w:marRight w:val="0"/>
      <w:marTop w:val="0"/>
      <w:marBottom w:val="0"/>
      <w:divBdr>
        <w:top w:val="none" w:sz="0" w:space="0" w:color="auto"/>
        <w:left w:val="none" w:sz="0" w:space="0" w:color="auto"/>
        <w:bottom w:val="none" w:sz="0" w:space="0" w:color="auto"/>
        <w:right w:val="none" w:sz="0" w:space="0" w:color="auto"/>
      </w:divBdr>
    </w:div>
    <w:div w:id="1314717972">
      <w:bodyDiv w:val="1"/>
      <w:marLeft w:val="0"/>
      <w:marRight w:val="0"/>
      <w:marTop w:val="0"/>
      <w:marBottom w:val="0"/>
      <w:divBdr>
        <w:top w:val="none" w:sz="0" w:space="0" w:color="auto"/>
        <w:left w:val="none" w:sz="0" w:space="0" w:color="auto"/>
        <w:bottom w:val="none" w:sz="0" w:space="0" w:color="auto"/>
        <w:right w:val="none" w:sz="0" w:space="0" w:color="auto"/>
      </w:divBdr>
    </w:div>
    <w:div w:id="15761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cecimo.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vopss.cz"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cimo.eu"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cimo.eu" TargetMode="External"/><Relationship Id="rId23" Type="http://schemas.openxmlformats.org/officeDocument/2006/relationships/hyperlink" Target="http://www.cecimo.eu" TargetMode="External"/><Relationship Id="rId10" Type="http://schemas.openxmlformats.org/officeDocument/2006/relationships/image" Target="media/image2.jpe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cid:image001.png@01D6E51F.41C64CB0" TargetMode="External"/><Relationship Id="rId14" Type="http://schemas.openxmlformats.org/officeDocument/2006/relationships/hyperlink" Target="http://www.cecimo.eu" TargetMode="External"/><Relationship Id="rId22" Type="http://schemas.openxmlformats.org/officeDocument/2006/relationships/image" Target="media/image9.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5C42-0DB1-45E9-9808-D1BFF4AC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3878</Words>
  <Characters>22887</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Blanka Markovičová</cp:lastModifiedBy>
  <cp:revision>4</cp:revision>
  <dcterms:created xsi:type="dcterms:W3CDTF">2022-03-02T09:58:00Z</dcterms:created>
  <dcterms:modified xsi:type="dcterms:W3CDTF">2022-03-04T14:15:00Z</dcterms:modified>
</cp:coreProperties>
</file>